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D77E" w14:textId="5413D336" w:rsidR="00DC2F16" w:rsidRDefault="005335A7" w:rsidP="00F343DD">
      <w:pPr>
        <w:ind w:firstLine="72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              </w:t>
      </w:r>
      <w:r w:rsidR="00193DB9" w:rsidRPr="001C295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 xml:space="preserve">Проблемы и пути решения трудоустройства выпускников </w:t>
      </w:r>
      <w:r w:rsidR="00F343D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с легкой умственной отсталостью</w:t>
      </w:r>
    </w:p>
    <w:p w14:paraId="4910C1D5" w14:textId="77777777" w:rsidR="00D95B53" w:rsidRDefault="00D95B53" w:rsidP="00D95B53">
      <w:pPr>
        <w:spacing w:after="0"/>
        <w:ind w:firstLine="720"/>
        <w:jc w:val="right"/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val="ru-RU"/>
        </w:rPr>
      </w:pPr>
      <w:r w:rsidRPr="00D95B53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val="ru-RU"/>
        </w:rPr>
        <w:t>Обращайтесь с людьми так, как будто они уже идеальны,</w:t>
      </w:r>
    </w:p>
    <w:p w14:paraId="5C6EE22D" w14:textId="77777777" w:rsidR="00D95B53" w:rsidRDefault="00D95B53" w:rsidP="00D95B53">
      <w:pPr>
        <w:spacing w:after="0"/>
        <w:ind w:firstLine="720"/>
        <w:jc w:val="right"/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val="ru-RU"/>
        </w:rPr>
      </w:pPr>
      <w:r w:rsidRPr="00D95B53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val="ru-RU"/>
        </w:rPr>
        <w:t xml:space="preserve"> и тогда вы поможете им стать теми, </w:t>
      </w:r>
    </w:p>
    <w:p w14:paraId="179A91CA" w14:textId="22E8EA3D" w:rsidR="00D95B53" w:rsidRPr="00D95B53" w:rsidRDefault="00D95B53" w:rsidP="00D95B53">
      <w:pPr>
        <w:spacing w:after="0"/>
        <w:ind w:firstLine="720"/>
        <w:jc w:val="right"/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val="ru-RU"/>
        </w:rPr>
      </w:pPr>
      <w:r w:rsidRPr="00D95B53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val="ru-RU"/>
        </w:rPr>
        <w:t xml:space="preserve">кем они могут стать. </w:t>
      </w:r>
      <w:r w:rsidRPr="00D95B53">
        <w:rPr>
          <w:i/>
          <w:iCs/>
          <w:sz w:val="20"/>
          <w:szCs w:val="20"/>
        </w:rPr>
        <w:t xml:space="preserve"> </w:t>
      </w:r>
      <w:r w:rsidRPr="00D95B53">
        <w:rPr>
          <w:rFonts w:ascii="Times New Roman" w:hAnsi="Times New Roman" w:cs="Times New Roman"/>
          <w:i/>
          <w:iCs/>
          <w:color w:val="181818"/>
          <w:sz w:val="24"/>
          <w:szCs w:val="24"/>
          <w:shd w:val="clear" w:color="auto" w:fill="FFFFFF"/>
          <w:lang w:val="ru-RU"/>
        </w:rPr>
        <w:t xml:space="preserve">Гёте </w:t>
      </w:r>
    </w:p>
    <w:p w14:paraId="365450F8" w14:textId="76F5E08C" w:rsidR="00D95B53" w:rsidRPr="000C3EB7" w:rsidRDefault="00D95B53" w:rsidP="00D07F3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B7">
        <w:rPr>
          <w:rFonts w:ascii="Times New Roman" w:hAnsi="Times New Roman" w:cs="Times New Roman"/>
          <w:sz w:val="28"/>
          <w:szCs w:val="28"/>
        </w:rPr>
        <w:t>Показатели трудоустройства выпускников являются одним из основных критериев качества подготовки специалистов.</w:t>
      </w:r>
      <w:r w:rsidRPr="000C3EB7">
        <w:rPr>
          <w:rFonts w:ascii="Times New Roman" w:hAnsi="Times New Roman" w:cs="Times New Roman"/>
          <w:bCs/>
          <w:sz w:val="28"/>
          <w:szCs w:val="28"/>
        </w:rPr>
        <w:t xml:space="preserve"> Трудоустройство</w:t>
      </w:r>
      <w:r w:rsidRPr="000C3E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выпускников с легкой умственной отсталостью</w:t>
      </w:r>
      <w:r w:rsidRPr="000C3EB7">
        <w:rPr>
          <w:rFonts w:ascii="Times New Roman" w:hAnsi="Times New Roman" w:cs="Times New Roman"/>
          <w:bCs/>
          <w:sz w:val="28"/>
          <w:szCs w:val="28"/>
        </w:rPr>
        <w:t xml:space="preserve"> является ведущим инструментом создания общества равных возможностей. Цель д</w:t>
      </w:r>
      <w:r w:rsidRPr="000C3EB7">
        <w:rPr>
          <w:rFonts w:ascii="Times New Roman" w:hAnsi="Times New Roman" w:cs="Times New Roman"/>
          <w:bCs/>
          <w:sz w:val="28"/>
          <w:szCs w:val="28"/>
          <w:lang w:val="ru-RU"/>
        </w:rPr>
        <w:t>оклада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</w:t>
      </w:r>
      <w:r w:rsidRPr="000C3EB7">
        <w:rPr>
          <w:rFonts w:ascii="Times New Roman" w:hAnsi="Times New Roman" w:cs="Times New Roman"/>
          <w:bCs/>
          <w:sz w:val="28"/>
          <w:szCs w:val="28"/>
        </w:rPr>
        <w:t xml:space="preserve"> определение препятствий, с которыми сталкиваются люди с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особо образовательными потребностями </w:t>
      </w:r>
      <w:r w:rsidRPr="000C3EB7">
        <w:rPr>
          <w:rFonts w:ascii="Times New Roman" w:hAnsi="Times New Roman" w:cs="Times New Roman"/>
          <w:bCs/>
          <w:sz w:val="28"/>
          <w:szCs w:val="28"/>
        </w:rPr>
        <w:t xml:space="preserve">на рынке труда, а также обоснование экономической целесообразности инвестирования государственных средств в мероприятия по содействию их трудоустройству. </w:t>
      </w:r>
      <w:r w:rsidRPr="000C3EB7">
        <w:rPr>
          <w:rFonts w:ascii="Times New Roman" w:hAnsi="Times New Roman" w:cs="Times New Roman"/>
          <w:bCs/>
          <w:sz w:val="28"/>
          <w:szCs w:val="28"/>
          <w:lang w:val="ru-RU"/>
        </w:rPr>
        <w:t>Также р</w:t>
      </w:r>
      <w:r w:rsidRPr="000C3EB7">
        <w:rPr>
          <w:rFonts w:ascii="Times New Roman" w:hAnsi="Times New Roman" w:cs="Times New Roman"/>
          <w:bCs/>
          <w:sz w:val="28"/>
          <w:szCs w:val="28"/>
        </w:rPr>
        <w:t xml:space="preserve">ассматривается результативность рабочих мест для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студентов с особо образовательны</w:t>
      </w:r>
      <w:r w:rsidR="002D0855">
        <w:rPr>
          <w:rFonts w:ascii="Times New Roman" w:hAnsi="Times New Roman" w:cs="Times New Roman"/>
          <w:bCs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потребност</w:t>
      </w:r>
      <w:r w:rsidR="002D0855">
        <w:rPr>
          <w:rFonts w:ascii="Times New Roman" w:hAnsi="Times New Roman" w:cs="Times New Roman"/>
          <w:bCs/>
          <w:sz w:val="28"/>
          <w:szCs w:val="28"/>
          <w:lang w:val="ru-RU"/>
        </w:rPr>
        <w:t>ями</w:t>
      </w:r>
      <w:r w:rsidRPr="000C3E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0C3EB7">
        <w:rPr>
          <w:rFonts w:ascii="Times New Roman" w:hAnsi="Times New Roman" w:cs="Times New Roman"/>
          <w:bCs/>
          <w:sz w:val="28"/>
          <w:szCs w:val="28"/>
        </w:rPr>
        <w:t xml:space="preserve">Одной из проблем в сфере содействия трудоустройству является обеспечение их профессиональной подготовки и переподготовки. </w:t>
      </w:r>
    </w:p>
    <w:p w14:paraId="4327CD46" w14:textId="77777777" w:rsidR="002D0855" w:rsidRPr="000C3EB7" w:rsidRDefault="00D95B53" w:rsidP="00D07F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19AC">
        <w:rPr>
          <w:sz w:val="28"/>
          <w:szCs w:val="28"/>
        </w:rPr>
        <w:t>Ежегодно в</w:t>
      </w:r>
      <w:r>
        <w:rPr>
          <w:sz w:val="28"/>
          <w:szCs w:val="28"/>
        </w:rPr>
        <w:t xml:space="preserve"> Алматинском колледже технологий и флористики</w:t>
      </w:r>
      <w:r w:rsidRPr="001A19AC">
        <w:rPr>
          <w:sz w:val="28"/>
          <w:szCs w:val="28"/>
        </w:rPr>
        <w:t xml:space="preserve"> мастера групп подают заведующему отделением данные о трудоустройстве. Профессиональная практика студентов колледжа является обязательным компонентом образовательной программы</w:t>
      </w:r>
      <w:r w:rsidR="002D0855">
        <w:rPr>
          <w:sz w:val="28"/>
          <w:szCs w:val="28"/>
        </w:rPr>
        <w:t xml:space="preserve">. </w:t>
      </w:r>
      <w:r w:rsidR="002D0855" w:rsidRPr="000C3EB7">
        <w:rPr>
          <w:color w:val="auto"/>
          <w:sz w:val="28"/>
          <w:szCs w:val="28"/>
        </w:rPr>
        <w:t xml:space="preserve">В колледже сложилась система содействия в трудоустройстве выпускников и их профессионального роста после окончания колледжа: </w:t>
      </w:r>
    </w:p>
    <w:p w14:paraId="68FAC1CE" w14:textId="77777777" w:rsidR="002D0855" w:rsidRPr="000C3EB7" w:rsidRDefault="002D0855" w:rsidP="00D07F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EB7">
        <w:rPr>
          <w:color w:val="auto"/>
          <w:sz w:val="28"/>
          <w:szCs w:val="28"/>
        </w:rPr>
        <w:t xml:space="preserve">1. Подбор и заключение договоров с предприятиями (организациями/ учреждениями) на предмет закрепления их в качестве баз практик, течении учебного года заключаются договоры с организациями и предприятиями на предмет закрепления их в качестве баз практик на предстоящий период. </w:t>
      </w:r>
    </w:p>
    <w:p w14:paraId="76E9F1B2" w14:textId="77777777" w:rsidR="002D0855" w:rsidRPr="000C3EB7" w:rsidRDefault="002D0855" w:rsidP="00D07F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EB7">
        <w:rPr>
          <w:color w:val="auto"/>
          <w:sz w:val="28"/>
          <w:szCs w:val="28"/>
        </w:rPr>
        <w:t xml:space="preserve">2. Формирование банка данных трудоустройства и профессионального роста выпускников колледжа. </w:t>
      </w:r>
    </w:p>
    <w:p w14:paraId="07EA2F28" w14:textId="2DBDC388" w:rsidR="002D0855" w:rsidRPr="000C3EB7" w:rsidRDefault="002D0855" w:rsidP="00D07F3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практика проводится в организациях соответствующего профиля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«Швейное производство и моделирование одежды»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Практика осуществляется на договорной основе с организациями работодателей и индивидуальным запросам организаций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специальности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3E1FBDD0" w14:textId="1FE9FF66" w:rsidR="002D0855" w:rsidRPr="000C3EB7" w:rsidRDefault="002D0855" w:rsidP="00D07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0C3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практика 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в учебных мастерских колледжа. Технологическая и преддипломная практик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r w:rsidRPr="000C3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базе предприятии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штатных мест. Базами этих практик являются</w:t>
      </w:r>
      <w:r w:rsidR="006942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швейные предприятие как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42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«КазСПО-</w:t>
      </w:r>
      <w:r w:rsidRPr="000C3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ТОО «Фирм-Каз Центр», ТОО «Зоя и Компания», ТОО «МСК-ИМПЭКС»</w:t>
      </w:r>
      <w:r w:rsidRPr="000C3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ТОО «Ифэшн Индастри», </w:t>
      </w:r>
      <w:r w:rsidRPr="000C3EB7">
        <w:rPr>
          <w:rFonts w:ascii="Times New Roman" w:hAnsi="Times New Roman" w:cs="Times New Roman"/>
          <w:sz w:val="28"/>
          <w:szCs w:val="28"/>
          <w:lang w:val="kk-KZ"/>
        </w:rPr>
        <w:t xml:space="preserve">АУПП №1 «Казахское Общество Глухих», ТОО «Фонд Эльдани», </w:t>
      </w:r>
      <w:r w:rsidRPr="000C3EB7">
        <w:rPr>
          <w:rFonts w:ascii="Times New Roman" w:hAnsi="Times New Roman" w:cs="Times New Roman"/>
          <w:sz w:val="28"/>
          <w:szCs w:val="28"/>
        </w:rPr>
        <w:t>ТОО «Казахстанская мануфактура ткани»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, ТОО РЦ Надежда и др.</w:t>
      </w:r>
    </w:p>
    <w:p w14:paraId="62C1BBD0" w14:textId="50E97D5A" w:rsidR="002D0855" w:rsidRPr="000C3EB7" w:rsidRDefault="002D0855" w:rsidP="00D07F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практик </w:t>
      </w:r>
      <w:r w:rsidR="00D07F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студенты 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</w:t>
      </w:r>
      <w:r w:rsidR="00D07F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свои </w:t>
      </w:r>
      <w:r w:rsidRPr="000C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отчёты. </w:t>
      </w:r>
    </w:p>
    <w:p w14:paraId="3D4EFFF1" w14:textId="60F176B9" w:rsidR="002D0855" w:rsidRDefault="002D0855" w:rsidP="00D07F3D">
      <w:pPr>
        <w:tabs>
          <w:tab w:val="num" w:pos="880"/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C3E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Трудоустройство выпускников отделения </w:t>
      </w:r>
      <w:r w:rsidRPr="000C3EB7">
        <w:rPr>
          <w:rFonts w:ascii="Times New Roman" w:eastAsia="Times New Roman" w:hAnsi="Times New Roman"/>
          <w:bCs/>
          <w:sz w:val="28"/>
          <w:szCs w:val="28"/>
          <w:lang w:eastAsia="ru-RU"/>
        </w:rPr>
        <w:t>1211000- Швейное производство и моделирование одежды</w:t>
      </w:r>
      <w:r w:rsidRPr="000C3EB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14:paraId="7F89DE14" w14:textId="77777777" w:rsidR="004557BF" w:rsidRDefault="004557BF" w:rsidP="00D07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0C4C551" w14:textId="61687629" w:rsidR="00B818EB" w:rsidRDefault="00B818EB" w:rsidP="00D07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2B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Таблица </w:t>
      </w:r>
      <w:r w:rsidR="004557BF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1</w:t>
      </w:r>
      <w:r w:rsidRPr="008D2B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Pr="008D2B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Трудоустройство выпускников</w:t>
      </w:r>
    </w:p>
    <w:p w14:paraId="577FEB08" w14:textId="77777777" w:rsidR="004557BF" w:rsidRPr="008D2B5F" w:rsidRDefault="004557BF" w:rsidP="00D07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9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842"/>
        <w:gridCol w:w="567"/>
        <w:gridCol w:w="709"/>
        <w:gridCol w:w="543"/>
        <w:gridCol w:w="591"/>
        <w:gridCol w:w="567"/>
        <w:gridCol w:w="709"/>
        <w:gridCol w:w="709"/>
        <w:gridCol w:w="708"/>
        <w:gridCol w:w="709"/>
        <w:gridCol w:w="709"/>
        <w:gridCol w:w="567"/>
        <w:gridCol w:w="680"/>
      </w:tblGrid>
      <w:tr w:rsidR="00D33EC8" w:rsidRPr="00D33EC8" w14:paraId="42EE11A5" w14:textId="77777777" w:rsidTr="004557BF">
        <w:tc>
          <w:tcPr>
            <w:tcW w:w="1310" w:type="dxa"/>
            <w:vMerge w:val="restart"/>
          </w:tcPr>
          <w:p w14:paraId="47D29E13" w14:textId="77777777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  <w:p w14:paraId="76071D3C" w14:textId="77777777" w:rsidR="00D33EC8" w:rsidRPr="004557BF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специальности</w:t>
            </w:r>
          </w:p>
        </w:tc>
        <w:tc>
          <w:tcPr>
            <w:tcW w:w="9610" w:type="dxa"/>
            <w:gridSpan w:val="13"/>
          </w:tcPr>
          <w:p w14:paraId="09F97AF0" w14:textId="77777777" w:rsidR="00D33EC8" w:rsidRPr="004557BF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Контингент выпускников, человек</w:t>
            </w:r>
          </w:p>
        </w:tc>
      </w:tr>
      <w:tr w:rsidR="00D33EC8" w:rsidRPr="00D33EC8" w14:paraId="6D5F0018" w14:textId="77777777" w:rsidTr="004557BF">
        <w:tc>
          <w:tcPr>
            <w:tcW w:w="1310" w:type="dxa"/>
            <w:vMerge/>
          </w:tcPr>
          <w:p w14:paraId="4227B338" w14:textId="77777777" w:rsidR="00D33EC8" w:rsidRPr="004557BF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81341BD" w14:textId="77777777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410" w:type="dxa"/>
            <w:gridSpan w:val="4"/>
          </w:tcPr>
          <w:p w14:paraId="65CDB3B1" w14:textId="20CB8720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3" w:type="dxa"/>
            <w:gridSpan w:val="4"/>
          </w:tcPr>
          <w:p w14:paraId="1F738ACF" w14:textId="31460124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665" w:type="dxa"/>
            <w:gridSpan w:val="4"/>
          </w:tcPr>
          <w:p w14:paraId="2EA0E431" w14:textId="1B87D14F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2019-2020</w:t>
            </w:r>
          </w:p>
        </w:tc>
      </w:tr>
      <w:tr w:rsidR="00D33EC8" w:rsidRPr="00D33EC8" w14:paraId="1B751ABB" w14:textId="77777777" w:rsidTr="004557BF">
        <w:trPr>
          <w:trHeight w:val="387"/>
        </w:trPr>
        <w:tc>
          <w:tcPr>
            <w:tcW w:w="1310" w:type="dxa"/>
            <w:vMerge/>
          </w:tcPr>
          <w:p w14:paraId="70937FD1" w14:textId="77777777" w:rsidR="00D33EC8" w:rsidRPr="004557BF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59B72BA" w14:textId="77777777" w:rsidR="00D33EC8" w:rsidRPr="004557BF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78D48E0" w14:textId="1B866F03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318428" w14:textId="48674DE4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60A7B0A5" w14:textId="2A74B819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C309A09" w14:textId="10DFE797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F921AEC" w14:textId="7D88EE94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14:paraId="731F866E" w14:textId="0B5BF808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EC8" w:rsidRPr="00D33EC8" w14:paraId="0950B663" w14:textId="6B292822" w:rsidTr="004557BF">
        <w:trPr>
          <w:cantSplit/>
          <w:trHeight w:val="1812"/>
        </w:trPr>
        <w:tc>
          <w:tcPr>
            <w:tcW w:w="1310" w:type="dxa"/>
            <w:vMerge/>
          </w:tcPr>
          <w:p w14:paraId="7E7702B7" w14:textId="77777777" w:rsidR="00D33EC8" w:rsidRPr="00D33EC8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6B02D34" w14:textId="77777777" w:rsidR="00D33EC8" w:rsidRPr="00D33EC8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FC2EE26" w14:textId="65B89B5F" w:rsidR="00D33EC8" w:rsidRPr="00D33EC8" w:rsidRDefault="00D33EC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709" w:type="dxa"/>
            <w:textDirection w:val="btLr"/>
          </w:tcPr>
          <w:p w14:paraId="6BF0337D" w14:textId="5C624272" w:rsidR="00D33EC8" w:rsidRPr="00C65228" w:rsidRDefault="00D33EC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них</w:t>
            </w:r>
            <w:r w:rsidR="00C65228"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ООП</w:t>
            </w:r>
          </w:p>
        </w:tc>
        <w:tc>
          <w:tcPr>
            <w:tcW w:w="543" w:type="dxa"/>
            <w:textDirection w:val="btLr"/>
          </w:tcPr>
          <w:p w14:paraId="1436DB82" w14:textId="3E23F86C" w:rsidR="00D33EC8" w:rsidRPr="00D33EC8" w:rsidRDefault="00D33EC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591" w:type="dxa"/>
            <w:textDirection w:val="btLr"/>
          </w:tcPr>
          <w:p w14:paraId="3E5A6B0E" w14:textId="3B5E111C" w:rsidR="00D33EC8" w:rsidRPr="00C65228" w:rsidRDefault="00D33EC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них</w:t>
            </w:r>
            <w:r w:rsidR="00C65228"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ООП</w:t>
            </w:r>
          </w:p>
        </w:tc>
        <w:tc>
          <w:tcPr>
            <w:tcW w:w="567" w:type="dxa"/>
            <w:textDirection w:val="btLr"/>
          </w:tcPr>
          <w:p w14:paraId="178FCA71" w14:textId="5AC75EC9" w:rsidR="00D33EC8" w:rsidRPr="00D33EC8" w:rsidRDefault="00D33EC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</w:t>
            </w:r>
          </w:p>
        </w:tc>
        <w:tc>
          <w:tcPr>
            <w:tcW w:w="709" w:type="dxa"/>
            <w:textDirection w:val="btLr"/>
          </w:tcPr>
          <w:p w14:paraId="63919C53" w14:textId="351BC906" w:rsidR="00D33EC8" w:rsidRPr="00C65228" w:rsidRDefault="00D33EC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них</w:t>
            </w:r>
            <w:r w:rsidR="00C65228"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ООП</w:t>
            </w:r>
          </w:p>
        </w:tc>
        <w:tc>
          <w:tcPr>
            <w:tcW w:w="709" w:type="dxa"/>
            <w:textDirection w:val="btLr"/>
          </w:tcPr>
          <w:p w14:paraId="02561E15" w14:textId="78C455A8" w:rsidR="00D33EC8" w:rsidRPr="00D33EC8" w:rsidRDefault="00D33EC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708" w:type="dxa"/>
            <w:textDirection w:val="btLr"/>
          </w:tcPr>
          <w:p w14:paraId="16D18DEB" w14:textId="5888074C" w:rsidR="00D33EC8" w:rsidRPr="00C65228" w:rsidRDefault="00C6522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них ООП</w:t>
            </w:r>
          </w:p>
        </w:tc>
        <w:tc>
          <w:tcPr>
            <w:tcW w:w="709" w:type="dxa"/>
            <w:textDirection w:val="btLr"/>
          </w:tcPr>
          <w:p w14:paraId="3CCCB49D" w14:textId="09359CB4" w:rsidR="00D33EC8" w:rsidRPr="00D33EC8" w:rsidRDefault="00C6522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</w:t>
            </w:r>
          </w:p>
        </w:tc>
        <w:tc>
          <w:tcPr>
            <w:tcW w:w="709" w:type="dxa"/>
            <w:textDirection w:val="btLr"/>
          </w:tcPr>
          <w:p w14:paraId="5BB26075" w14:textId="758CC7EC" w:rsidR="00D33EC8" w:rsidRPr="00C65228" w:rsidRDefault="00C6522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них ООП</w:t>
            </w:r>
          </w:p>
        </w:tc>
        <w:tc>
          <w:tcPr>
            <w:tcW w:w="567" w:type="dxa"/>
            <w:textDirection w:val="btLr"/>
          </w:tcPr>
          <w:p w14:paraId="1439D297" w14:textId="5373E583" w:rsidR="00D33EC8" w:rsidRPr="00D33EC8" w:rsidRDefault="00C6522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680" w:type="dxa"/>
            <w:textDirection w:val="btLr"/>
          </w:tcPr>
          <w:p w14:paraId="24F595B1" w14:textId="4D8AD4BD" w:rsidR="00D33EC8" w:rsidRPr="00C65228" w:rsidRDefault="00C65228" w:rsidP="00D07F3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Из них ООП</w:t>
            </w:r>
          </w:p>
        </w:tc>
      </w:tr>
      <w:tr w:rsidR="00D33EC8" w:rsidRPr="00D33EC8" w14:paraId="7946616D" w14:textId="0D107DB4" w:rsidTr="004557BF">
        <w:trPr>
          <w:trHeight w:val="1280"/>
        </w:trPr>
        <w:tc>
          <w:tcPr>
            <w:tcW w:w="1310" w:type="dxa"/>
          </w:tcPr>
          <w:p w14:paraId="768F39A5" w14:textId="77777777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1211000</w:t>
            </w:r>
          </w:p>
        </w:tc>
        <w:tc>
          <w:tcPr>
            <w:tcW w:w="1842" w:type="dxa"/>
          </w:tcPr>
          <w:p w14:paraId="48C3F063" w14:textId="77777777" w:rsid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«Швейное производство и моделирование одежды»</w:t>
            </w:r>
          </w:p>
          <w:p w14:paraId="6FA3543E" w14:textId="7F543CD7" w:rsidR="004557BF" w:rsidRPr="004557BF" w:rsidRDefault="004557BF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«Швея»</w:t>
            </w:r>
          </w:p>
        </w:tc>
        <w:tc>
          <w:tcPr>
            <w:tcW w:w="567" w:type="dxa"/>
          </w:tcPr>
          <w:p w14:paraId="67E3BE8A" w14:textId="346F9197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14:paraId="293311B8" w14:textId="566ADB3E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43" w:type="dxa"/>
          </w:tcPr>
          <w:p w14:paraId="2711A341" w14:textId="07AA3EAC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1" w:type="dxa"/>
          </w:tcPr>
          <w:p w14:paraId="5F7FD3D5" w14:textId="39F866D4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67" w:type="dxa"/>
          </w:tcPr>
          <w:p w14:paraId="6AB0B666" w14:textId="4D2354FA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14:paraId="41DB101D" w14:textId="7A3EA1C3" w:rsidR="00D33EC8" w:rsidRPr="00C65228" w:rsidRDefault="00C6522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9" w:type="dxa"/>
          </w:tcPr>
          <w:p w14:paraId="5B8234DE" w14:textId="2DFF9A9C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14:paraId="18525354" w14:textId="034F9CE2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C887C97" w14:textId="5170F58A" w:rsidR="00D33EC8" w:rsidRPr="00C65228" w:rsidRDefault="00C65228" w:rsidP="00D07F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  <w:p w14:paraId="4D533797" w14:textId="77777777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953830D" w14:textId="1DF4A463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09" w:type="dxa"/>
          </w:tcPr>
          <w:p w14:paraId="2C84806F" w14:textId="0F65CAB7" w:rsidR="00D33EC8" w:rsidRPr="00C65228" w:rsidRDefault="00C6522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67" w:type="dxa"/>
          </w:tcPr>
          <w:p w14:paraId="768F79F3" w14:textId="7AFBE4C6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3E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80" w:type="dxa"/>
          </w:tcPr>
          <w:p w14:paraId="4CB325AD" w14:textId="62609AAC" w:rsidR="00D33EC8" w:rsidRPr="00C65228" w:rsidRDefault="00C6522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25</w:t>
            </w:r>
          </w:p>
        </w:tc>
      </w:tr>
      <w:tr w:rsidR="00D33EC8" w:rsidRPr="00D33EC8" w14:paraId="3C99F1B8" w14:textId="4A6360C9" w:rsidTr="00A65C8E">
        <w:trPr>
          <w:trHeight w:val="429"/>
        </w:trPr>
        <w:tc>
          <w:tcPr>
            <w:tcW w:w="1310" w:type="dxa"/>
          </w:tcPr>
          <w:p w14:paraId="1C148012" w14:textId="77777777" w:rsidR="00D33EC8" w:rsidRPr="004557BF" w:rsidRDefault="00D33EC8" w:rsidP="00D0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981F48D" w14:textId="77777777" w:rsidR="00D33EC8" w:rsidRPr="004557BF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14:paraId="698FA009" w14:textId="72FAD2C6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14:paraId="16C9CBF4" w14:textId="5EB0E158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43" w:type="dxa"/>
          </w:tcPr>
          <w:p w14:paraId="45FB58CE" w14:textId="6B6B8492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1" w:type="dxa"/>
          </w:tcPr>
          <w:p w14:paraId="284744F1" w14:textId="7CC53839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67" w:type="dxa"/>
          </w:tcPr>
          <w:p w14:paraId="568AA104" w14:textId="7E5BF15C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14:paraId="7ABB567F" w14:textId="123B5479" w:rsidR="00D33EC8" w:rsidRPr="00C65228" w:rsidRDefault="00C6522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9" w:type="dxa"/>
          </w:tcPr>
          <w:p w14:paraId="1D4BB509" w14:textId="1E9950BE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  <w:p w14:paraId="1F4FE98D" w14:textId="26AEBA8C" w:rsidR="00D33EC8" w:rsidRPr="00D33EC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02850C" w14:textId="254551FE" w:rsidR="00D33EC8" w:rsidRPr="00A65C8E" w:rsidRDefault="00C65228" w:rsidP="00D07F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</w:tcPr>
          <w:p w14:paraId="57BF8A8E" w14:textId="52221813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09" w:type="dxa"/>
          </w:tcPr>
          <w:p w14:paraId="11DB0F80" w14:textId="7ADCA594" w:rsidR="00D33EC8" w:rsidRPr="00C65228" w:rsidRDefault="00C6522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67" w:type="dxa"/>
          </w:tcPr>
          <w:p w14:paraId="4F7452D1" w14:textId="20024342" w:rsidR="00D33EC8" w:rsidRPr="00C65228" w:rsidRDefault="00D33EC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65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80" w:type="dxa"/>
          </w:tcPr>
          <w:p w14:paraId="6184EB84" w14:textId="2D51BEF3" w:rsidR="00D33EC8" w:rsidRPr="00C65228" w:rsidRDefault="00C65228" w:rsidP="00D0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25</w:t>
            </w:r>
          </w:p>
        </w:tc>
      </w:tr>
    </w:tbl>
    <w:p w14:paraId="478ABFAF" w14:textId="1DD1D112" w:rsidR="00B818EB" w:rsidRDefault="004557BF" w:rsidP="00D07F3D">
      <w:pPr>
        <w:tabs>
          <w:tab w:val="num" w:pos="880"/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3F9DC06" wp14:editId="5788C2C1">
            <wp:simplePos x="0" y="0"/>
            <wp:positionH relativeFrom="column">
              <wp:posOffset>358140</wp:posOffset>
            </wp:positionH>
            <wp:positionV relativeFrom="paragraph">
              <wp:posOffset>203835</wp:posOffset>
            </wp:positionV>
            <wp:extent cx="5184140" cy="2369185"/>
            <wp:effectExtent l="0" t="0" r="16510" b="12065"/>
            <wp:wrapTight wrapText="bothSides">
              <wp:wrapPolygon edited="0">
                <wp:start x="0" y="0"/>
                <wp:lineTo x="0" y="21536"/>
                <wp:lineTo x="21589" y="21536"/>
                <wp:lineTo x="2158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A61FB" w14:textId="311F6E28" w:rsidR="006942D9" w:rsidRDefault="006942D9" w:rsidP="00D07F3D">
      <w:pPr>
        <w:tabs>
          <w:tab w:val="num" w:pos="880"/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0493230" w14:textId="5DAEF865" w:rsidR="001A19AC" w:rsidRDefault="001A19AC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C7C10F0" w14:textId="5EA27D49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AAD38E8" w14:textId="026CD887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4BB6805" w14:textId="6D6079D9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92F6342" w14:textId="77777777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B63991E" w14:textId="34A44C8B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E192F97" w14:textId="47436515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7F89BD6D" w14:textId="623506E4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7564241" w14:textId="333880E5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9B59D65" w14:textId="6763FB1D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01A5760F" w14:textId="77777777" w:rsidR="004557BF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tbl>
      <w:tblPr>
        <w:tblW w:w="852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90"/>
        <w:gridCol w:w="3763"/>
        <w:gridCol w:w="4276"/>
      </w:tblGrid>
      <w:tr w:rsidR="00B818EB" w:rsidRPr="000C3EB7" w14:paraId="739AA3FE" w14:textId="77777777" w:rsidTr="005F37E4">
        <w:trPr>
          <w:trHeight w:val="77"/>
          <w:jc w:val="center"/>
        </w:trPr>
        <w:tc>
          <w:tcPr>
            <w:tcW w:w="4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C43655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55C81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предприятий</w:t>
            </w:r>
          </w:p>
        </w:tc>
      </w:tr>
      <w:tr w:rsidR="00B818EB" w:rsidRPr="000C3EB7" w14:paraId="6C6779FF" w14:textId="77777777" w:rsidTr="005F37E4">
        <w:trPr>
          <w:trHeight w:val="77"/>
          <w:jc w:val="center"/>
        </w:trPr>
        <w:tc>
          <w:tcPr>
            <w:tcW w:w="4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22D08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D632CC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18EB" w:rsidRPr="000C3EB7" w14:paraId="14071C58" w14:textId="77777777" w:rsidTr="005F37E4">
        <w:trPr>
          <w:trHeight w:val="77"/>
          <w:jc w:val="center"/>
        </w:trPr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C02D30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26686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Иханова Ж</w:t>
            </w:r>
          </w:p>
        </w:tc>
        <w:tc>
          <w:tcPr>
            <w:tcW w:w="4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40597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ТОО 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Иф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эшн Индастри»</w:t>
            </w:r>
          </w:p>
        </w:tc>
      </w:tr>
      <w:tr w:rsidR="00B818EB" w:rsidRPr="000C3EB7" w14:paraId="0BECE7B0" w14:textId="77777777" w:rsidTr="005F37E4">
        <w:trPr>
          <w:trHeight w:val="77"/>
          <w:jc w:val="center"/>
        </w:trPr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D70F11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69FABC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Акашев М</w:t>
            </w:r>
          </w:p>
        </w:tc>
        <w:tc>
          <w:tcPr>
            <w:tcW w:w="4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C4C602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 Фирм Каз Центр</w:t>
            </w:r>
          </w:p>
        </w:tc>
      </w:tr>
      <w:tr w:rsidR="00B818EB" w:rsidRPr="000C3EB7" w14:paraId="3070820D" w14:textId="77777777" w:rsidTr="005F37E4">
        <w:trPr>
          <w:trHeight w:val="77"/>
          <w:jc w:val="center"/>
        </w:trPr>
        <w:tc>
          <w:tcPr>
            <w:tcW w:w="4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A80FDD1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195FB36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Жексенбаева Г</w:t>
            </w:r>
          </w:p>
        </w:tc>
        <w:tc>
          <w:tcPr>
            <w:tcW w:w="4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1D340F9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ТОО 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РЦ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</w:tr>
      <w:tr w:rsidR="00B818EB" w:rsidRPr="000C3EB7" w14:paraId="2B8A5AB8" w14:textId="77777777" w:rsidTr="005F37E4">
        <w:trPr>
          <w:trHeight w:val="77"/>
          <w:jc w:val="center"/>
        </w:trPr>
        <w:tc>
          <w:tcPr>
            <w:tcW w:w="4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739EE48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4773DE3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Туганбай Е</w:t>
            </w:r>
          </w:p>
        </w:tc>
        <w:tc>
          <w:tcPr>
            <w:tcW w:w="4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D8DFF5C" w14:textId="77777777" w:rsidR="00B818EB" w:rsidRPr="004557BF" w:rsidRDefault="00B818EB" w:rsidP="00D07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ТОО 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РЦ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818EB" w:rsidRPr="000C3EB7" w14:paraId="11E80BF4" w14:textId="77777777" w:rsidTr="005F37E4">
        <w:trPr>
          <w:trHeight w:val="77"/>
          <w:jc w:val="center"/>
        </w:trPr>
        <w:tc>
          <w:tcPr>
            <w:tcW w:w="4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5C706B4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F591AA1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Ахметжан Ж</w:t>
            </w:r>
          </w:p>
        </w:tc>
        <w:tc>
          <w:tcPr>
            <w:tcW w:w="4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85F7A6A" w14:textId="77777777" w:rsidR="00B818EB" w:rsidRPr="004557BF" w:rsidRDefault="00B818EB" w:rsidP="00D07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ТОО 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РЦ</w:t>
            </w: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</w:tr>
      <w:tr w:rsidR="00B818EB" w:rsidRPr="000C3EB7" w14:paraId="1812E88E" w14:textId="77777777" w:rsidTr="005F37E4">
        <w:trPr>
          <w:trHeight w:val="77"/>
          <w:jc w:val="center"/>
        </w:trPr>
        <w:tc>
          <w:tcPr>
            <w:tcW w:w="4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E1F4225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0394940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Жексенбаева А</w:t>
            </w:r>
          </w:p>
        </w:tc>
        <w:tc>
          <w:tcPr>
            <w:tcW w:w="4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0BC04DA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 Каз.ЛегПром</w:t>
            </w:r>
          </w:p>
        </w:tc>
      </w:tr>
      <w:tr w:rsidR="00B818EB" w:rsidRPr="000C3EB7" w14:paraId="356B28DE" w14:textId="77777777" w:rsidTr="005F37E4">
        <w:trPr>
          <w:trHeight w:val="77"/>
          <w:jc w:val="center"/>
        </w:trPr>
        <w:tc>
          <w:tcPr>
            <w:tcW w:w="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703C65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C9B9FE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Кильдюшова Н</w:t>
            </w:r>
          </w:p>
        </w:tc>
        <w:tc>
          <w:tcPr>
            <w:tcW w:w="4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F1342A" w14:textId="77777777" w:rsidR="00B818EB" w:rsidRPr="004557BF" w:rsidRDefault="00B818EB" w:rsidP="00D07F3D">
            <w:pPr>
              <w:tabs>
                <w:tab w:val="num" w:pos="880"/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 Фирм Каз Центр</w:t>
            </w:r>
          </w:p>
        </w:tc>
      </w:tr>
    </w:tbl>
    <w:p w14:paraId="03172FE3" w14:textId="58A2797F" w:rsidR="004E44E1" w:rsidRDefault="004E44E1" w:rsidP="00D07F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98745A" w14:textId="5BD2C945" w:rsidR="00947B06" w:rsidRPr="000C3EB7" w:rsidRDefault="004557BF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Алматинский колледж технологий и флористики 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много лет совместно работае</w:t>
      </w:r>
      <w:r>
        <w:rPr>
          <w:rFonts w:ascii="Times New Roman" w:hAnsi="Times New Roman" w:cs="Times New Roman"/>
          <w:sz w:val="28"/>
          <w:szCs w:val="28"/>
          <w:lang w:val="ru-RU"/>
        </w:rPr>
        <w:t>т со швейными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 (вышеуказанные)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Алматы. Сотрудничество 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каждый год даёт свои положительные результаты. Но, не стоит забывать, 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во время трудоустройства выпускников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бывает и трудности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7B06" w:rsidRPr="000C3EB7">
        <w:rPr>
          <w:rFonts w:ascii="Times New Roman" w:hAnsi="Times New Roman" w:cs="Times New Roman"/>
          <w:sz w:val="28"/>
          <w:szCs w:val="28"/>
          <w:lang w:val="ru-RU"/>
        </w:rPr>
        <w:t>Есть ряд предприятий, которые предназначены для людей с особыми образовательными потребностями. Во время производственной практики по рабочей программе проходить практику на своем уровне. Когда поднимается вопрос о трудоустройстве сразу начинает говорит о способностях студентов</w:t>
      </w:r>
      <w:r w:rsidR="00947B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Это связано с тем, что у студентов разные категорий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 работоспособности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 Это говорит о </w:t>
      </w:r>
      <w:r w:rsidR="00947B06">
        <w:rPr>
          <w:rFonts w:ascii="Times New Roman" w:hAnsi="Times New Roman" w:cs="Times New Roman"/>
          <w:sz w:val="28"/>
          <w:szCs w:val="28"/>
          <w:lang w:val="ru-RU"/>
        </w:rPr>
        <w:t>том,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 что навыки и компетенции по специальности не сформирован</w:t>
      </w:r>
      <w:r w:rsidR="00947B0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65C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7B06">
        <w:rPr>
          <w:rFonts w:ascii="Times New Roman" w:hAnsi="Times New Roman" w:cs="Times New Roman"/>
          <w:sz w:val="28"/>
          <w:szCs w:val="28"/>
          <w:lang w:val="ru-RU"/>
        </w:rPr>
        <w:t>Так как большое количество студентов является с легкой умственной отсталостью, конечно, в этом случае никого не хочу обвинять</w:t>
      </w:r>
      <w:r w:rsidR="00947B06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7B06">
        <w:rPr>
          <w:rFonts w:ascii="Times New Roman" w:hAnsi="Times New Roman" w:cs="Times New Roman"/>
          <w:sz w:val="28"/>
          <w:szCs w:val="28"/>
          <w:lang w:val="ru-RU"/>
        </w:rPr>
        <w:t>На каждого студента должен быть индивидуальный профессиональный подход. Во многих швейных предприятиях</w:t>
      </w:r>
      <w:r w:rsidR="00866DCD">
        <w:rPr>
          <w:rFonts w:ascii="Times New Roman" w:hAnsi="Times New Roman" w:cs="Times New Roman"/>
          <w:sz w:val="28"/>
          <w:szCs w:val="28"/>
          <w:lang w:val="ru-RU"/>
        </w:rPr>
        <w:t xml:space="preserve"> работа идет массовую, поэтому возникает трудности. Мастера производственного обучения колледжа предусматривает индивидуальные предприятие, где есть возможность предоставить мастера для выпускников с особа образовательными потребностями. Индивидуальная работа или массовая работа на швейных предприятиях </w:t>
      </w:r>
      <w:r w:rsidR="001E3F92">
        <w:rPr>
          <w:rFonts w:ascii="Times New Roman" w:hAnsi="Times New Roman" w:cs="Times New Roman"/>
          <w:sz w:val="28"/>
          <w:szCs w:val="28"/>
          <w:lang w:val="ru-RU"/>
        </w:rPr>
        <w:t xml:space="preserve">даёт </w:t>
      </w:r>
      <w:r w:rsidR="00866DC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</w:t>
      </w:r>
      <w:r w:rsidR="001E3F92">
        <w:rPr>
          <w:rFonts w:ascii="Times New Roman" w:hAnsi="Times New Roman" w:cs="Times New Roman"/>
          <w:sz w:val="28"/>
          <w:szCs w:val="28"/>
          <w:lang w:val="ru-RU"/>
        </w:rPr>
        <w:t>понять суть коллективной работы.</w:t>
      </w:r>
      <w:r w:rsidR="00866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B06" w:rsidRPr="000C3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Выпускники нашего колледжа с легкой умственной отсталостью усердно хотят работать </w:t>
      </w:r>
      <w:r w:rsidR="001E3F92" w:rsidRPr="000C3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своим</w:t>
      </w:r>
      <w:r w:rsidR="001E3F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специальностям</w:t>
      </w:r>
      <w:r w:rsidR="00947B06" w:rsidRPr="000C3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Это говорит о том, что нашу надежду и образование которые мы доем, они оправдает. Мастера производственного обучения и администрация колледжа ежегодно контролируе</w:t>
      </w:r>
      <w:r w:rsidR="001E3F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947B06" w:rsidRPr="000C3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 трудоустройства чтобы решить </w:t>
      </w:r>
      <w:r w:rsidR="001E3F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 возникшие </w:t>
      </w:r>
      <w:r w:rsidR="00947B06" w:rsidRPr="000C3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проблемы.  </w:t>
      </w:r>
    </w:p>
    <w:p w14:paraId="35556F2F" w14:textId="39812423" w:rsidR="004557BF" w:rsidRPr="000C3EB7" w:rsidRDefault="00947B06" w:rsidP="00D07F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7BF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В колледже есть отделение инклюзивного образования. Заведующий отделений, психолог колледжа, медсестра, преподаватели специальных дисциплин и мастера производственного обучения организуют индивидуальное и групповое обучение с учетом возможностей студентов. </w:t>
      </w:r>
      <w:r w:rsidR="004557BF" w:rsidRPr="000C3EB7">
        <w:rPr>
          <w:rFonts w:ascii="Times New Roman" w:hAnsi="Times New Roman" w:cs="Times New Roman"/>
          <w:sz w:val="28"/>
          <w:szCs w:val="28"/>
        </w:rPr>
        <w:t>Отделение уделяет особое внимание мониторингу ежегодного трудоустройства выпускников и поддерживает обратную связь с рынком труда, что позволяет вести контроль соответствия качества подготовки реальному запросу рынка</w:t>
      </w:r>
      <w:r w:rsidR="004557BF" w:rsidRPr="000C3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F9C92A" w14:textId="57062002" w:rsidR="007D12B4" w:rsidRPr="000C3EB7" w:rsidRDefault="008170EC" w:rsidP="00D07F3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B7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образования в Республике Казахстан и указаниями Президента Н.А.Назарбаева </w:t>
      </w:r>
      <w:r w:rsidR="00F343DD" w:rsidRPr="000C3EB7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Pr="000C3EB7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AC3F7B" w:rsidRPr="000C3EB7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AC3F7B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C3EB7">
        <w:rPr>
          <w:rFonts w:ascii="Times New Roman" w:hAnsi="Times New Roman" w:cs="Times New Roman"/>
          <w:sz w:val="28"/>
          <w:szCs w:val="28"/>
        </w:rPr>
        <w:t>А</w:t>
      </w:r>
      <w:r w:rsidR="00F343DD" w:rsidRPr="000C3EB7">
        <w:rPr>
          <w:rFonts w:ascii="Times New Roman" w:hAnsi="Times New Roman" w:cs="Times New Roman"/>
          <w:sz w:val="28"/>
          <w:szCs w:val="28"/>
          <w:lang w:val="ru-RU"/>
        </w:rPr>
        <w:t>лматинском колледже технологий и флористики</w:t>
      </w:r>
      <w:r w:rsidR="00AC3F7B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F343DD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3EB7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 молодежи с </w:t>
      </w:r>
      <w:r w:rsidR="001E3F92">
        <w:rPr>
          <w:rFonts w:ascii="Times New Roman" w:hAnsi="Times New Roman" w:cs="Times New Roman"/>
          <w:sz w:val="28"/>
          <w:szCs w:val="28"/>
          <w:lang w:val="ru-RU"/>
        </w:rPr>
        <w:t>особо образовательными потребностями</w:t>
      </w:r>
      <w:r w:rsidRPr="000C3EB7">
        <w:rPr>
          <w:rFonts w:ascii="Times New Roman" w:hAnsi="Times New Roman" w:cs="Times New Roman"/>
          <w:sz w:val="28"/>
          <w:szCs w:val="28"/>
        </w:rPr>
        <w:t xml:space="preserve">, в том числе выпускников специализированных школ-интернатов и детских домов. На базе существовавшего более 20 лет коррекционного отделения колледжа открыт Ресурсный </w:t>
      </w:r>
      <w:r w:rsidR="00B80379" w:rsidRPr="000C3EB7">
        <w:rPr>
          <w:rFonts w:ascii="Times New Roman" w:hAnsi="Times New Roman" w:cs="Times New Roman"/>
          <w:sz w:val="28"/>
          <w:szCs w:val="28"/>
        </w:rPr>
        <w:t>центр профессиональной</w:t>
      </w:r>
      <w:r w:rsidRPr="000C3EB7">
        <w:rPr>
          <w:rFonts w:ascii="Times New Roman" w:hAnsi="Times New Roman" w:cs="Times New Roman"/>
          <w:sz w:val="28"/>
          <w:szCs w:val="28"/>
        </w:rPr>
        <w:t xml:space="preserve"> подготовки лиц </w:t>
      </w:r>
      <w:r w:rsidR="00B80379" w:rsidRPr="000C3EB7">
        <w:rPr>
          <w:rFonts w:ascii="Times New Roman" w:hAnsi="Times New Roman" w:cs="Times New Roman"/>
          <w:sz w:val="28"/>
          <w:szCs w:val="28"/>
        </w:rPr>
        <w:t xml:space="preserve">с </w:t>
      </w:r>
      <w:r w:rsidR="00B80379">
        <w:rPr>
          <w:rFonts w:ascii="Times New Roman" w:hAnsi="Times New Roman" w:cs="Times New Roman"/>
          <w:sz w:val="28"/>
          <w:szCs w:val="28"/>
          <w:lang w:val="ru-RU"/>
        </w:rPr>
        <w:t xml:space="preserve">особо образовательными потребностями. </w:t>
      </w:r>
      <w:r w:rsidRPr="000C3EB7">
        <w:rPr>
          <w:rFonts w:ascii="Times New Roman" w:hAnsi="Times New Roman" w:cs="Times New Roman"/>
          <w:sz w:val="28"/>
          <w:szCs w:val="28"/>
        </w:rPr>
        <w:t>Выпускник</w:t>
      </w:r>
      <w:r w:rsidR="00AC3F7B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и колледжа </w:t>
      </w:r>
      <w:r w:rsidRPr="000C3EB7">
        <w:rPr>
          <w:rFonts w:ascii="Times New Roman" w:hAnsi="Times New Roman" w:cs="Times New Roman"/>
          <w:sz w:val="28"/>
          <w:szCs w:val="28"/>
        </w:rPr>
        <w:t xml:space="preserve">из данной </w:t>
      </w:r>
      <w:r w:rsidR="00B80379" w:rsidRPr="000C3EB7">
        <w:rPr>
          <w:rFonts w:ascii="Times New Roman" w:hAnsi="Times New Roman" w:cs="Times New Roman"/>
          <w:sz w:val="28"/>
          <w:szCs w:val="28"/>
        </w:rPr>
        <w:lastRenderedPageBreak/>
        <w:t>категории гарантированно</w:t>
      </w:r>
      <w:r w:rsidRPr="000C3EB7">
        <w:rPr>
          <w:rFonts w:ascii="Times New Roman" w:hAnsi="Times New Roman" w:cs="Times New Roman"/>
          <w:sz w:val="28"/>
          <w:szCs w:val="28"/>
        </w:rPr>
        <w:t xml:space="preserve"> трудоустраиваются на рабочие места на предприятия города и области.</w:t>
      </w:r>
      <w:r w:rsidR="007D12B4" w:rsidRPr="000C3E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19799A" w14:textId="17C4C535" w:rsidR="007446FA" w:rsidRPr="000C3EB7" w:rsidRDefault="007446FA" w:rsidP="00D07F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7">
        <w:rPr>
          <w:rFonts w:ascii="Times New Roman" w:hAnsi="Times New Roman" w:cs="Times New Roman"/>
          <w:sz w:val="28"/>
          <w:szCs w:val="28"/>
          <w:lang w:val="ru-RU"/>
        </w:rPr>
        <w:t>На сегодняшний день п</w:t>
      </w:r>
      <w:r w:rsidR="00F341C3" w:rsidRPr="000C3EB7">
        <w:rPr>
          <w:rFonts w:ascii="Times New Roman" w:hAnsi="Times New Roman" w:cs="Times New Roman"/>
          <w:sz w:val="28"/>
          <w:szCs w:val="28"/>
        </w:rPr>
        <w:t>о данному направлению выделена как основная задача — развитие материально-технической базы.</w:t>
      </w:r>
    </w:p>
    <w:p w14:paraId="4E4C31E1" w14:textId="1E78D45C" w:rsidR="00F341C3" w:rsidRPr="000C3EB7" w:rsidRDefault="00F341C3" w:rsidP="00D07F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EB7">
        <w:rPr>
          <w:rFonts w:ascii="Times New Roman" w:hAnsi="Times New Roman" w:cs="Times New Roman"/>
          <w:sz w:val="28"/>
          <w:szCs w:val="28"/>
          <w:lang w:val="ru-RU"/>
        </w:rPr>
        <w:t>Сегодня создание условий для качественного образования и социализации молодежи с особыми образовательными потребностями имеет большое социальное значение.</w:t>
      </w:r>
      <w:r w:rsidR="00E6099E" w:rsidRPr="000C3EB7">
        <w:t xml:space="preserve"> </w:t>
      </w:r>
      <w:r w:rsidR="00E6099E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Алматинский колледж технологий и флористики с 1993 года занимается обучением </w:t>
      </w:r>
      <w:r w:rsidR="00E6099E" w:rsidRPr="00AE0239"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 w:rsidR="00E6099E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с особыми потребностями по специальностям «Швея», «Ремонт обуви» и «Сборщик мебели». Выпускники данных специальностей работают на </w:t>
      </w:r>
      <w:r w:rsidR="000C3EB7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малых и </w:t>
      </w:r>
      <w:r w:rsidR="00E6099E" w:rsidRPr="000C3EB7">
        <w:rPr>
          <w:rFonts w:ascii="Times New Roman" w:hAnsi="Times New Roman" w:cs="Times New Roman"/>
          <w:sz w:val="28"/>
          <w:szCs w:val="28"/>
          <w:lang w:val="ru-RU"/>
        </w:rPr>
        <w:t>крупных предприятиях Алматы.</w:t>
      </w:r>
    </w:p>
    <w:p w14:paraId="6FB1B1E6" w14:textId="471AD42E" w:rsidR="000C3EB7" w:rsidRPr="004557BF" w:rsidRDefault="00AC4C77" w:rsidP="00D07F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EB7">
        <w:rPr>
          <w:color w:val="auto"/>
          <w:sz w:val="28"/>
          <w:szCs w:val="28"/>
        </w:rPr>
        <w:t xml:space="preserve">Работа по организации контроля трудоустройства выпускников осуществляется </w:t>
      </w:r>
      <w:r w:rsidR="007D12B4" w:rsidRPr="000C3EB7">
        <w:rPr>
          <w:color w:val="auto"/>
          <w:sz w:val="28"/>
          <w:szCs w:val="28"/>
        </w:rPr>
        <w:t>во взаимодействии</w:t>
      </w:r>
      <w:r w:rsidRPr="000C3EB7">
        <w:rPr>
          <w:color w:val="auto"/>
          <w:sz w:val="28"/>
          <w:szCs w:val="28"/>
        </w:rPr>
        <w:t xml:space="preserve"> с работодателями </w:t>
      </w:r>
      <w:r w:rsidRPr="000C3EB7">
        <w:rPr>
          <w:color w:val="auto"/>
          <w:sz w:val="28"/>
          <w:szCs w:val="28"/>
          <w:lang w:val="kk-KZ"/>
        </w:rPr>
        <w:t xml:space="preserve">мастерами </w:t>
      </w:r>
      <w:r w:rsidRPr="000C3EB7">
        <w:rPr>
          <w:color w:val="auto"/>
          <w:sz w:val="28"/>
          <w:szCs w:val="28"/>
        </w:rPr>
        <w:t>групп. Ежегодно перед выпуском специалистов проводится встреча выпускников колледжа с социальными партнерами и работодателями</w:t>
      </w:r>
      <w:r w:rsidRPr="000C3EB7">
        <w:rPr>
          <w:color w:val="auto"/>
          <w:sz w:val="28"/>
          <w:szCs w:val="28"/>
          <w:lang w:val="kk-KZ"/>
        </w:rPr>
        <w:t xml:space="preserve">. </w:t>
      </w:r>
      <w:r w:rsidRPr="000C3EB7">
        <w:rPr>
          <w:color w:val="auto"/>
          <w:sz w:val="28"/>
          <w:szCs w:val="28"/>
        </w:rPr>
        <w:t xml:space="preserve">Работодатели рассказывают о своих предприятиях, об условиях труда, его оплате и приглашают </w:t>
      </w:r>
      <w:r w:rsidR="00AE0239">
        <w:rPr>
          <w:color w:val="auto"/>
          <w:sz w:val="28"/>
          <w:szCs w:val="28"/>
          <w:lang w:val="kk-KZ"/>
        </w:rPr>
        <w:t>студентов</w:t>
      </w:r>
      <w:r w:rsidRPr="000C3EB7">
        <w:rPr>
          <w:color w:val="auto"/>
          <w:sz w:val="28"/>
          <w:szCs w:val="28"/>
        </w:rPr>
        <w:t xml:space="preserve"> на преддипломную практику с дальнейшим трудоустройством. Специалисты КГУ «Центр занятости г. </w:t>
      </w:r>
      <w:r w:rsidRPr="000C3EB7">
        <w:rPr>
          <w:color w:val="auto"/>
          <w:sz w:val="28"/>
          <w:szCs w:val="28"/>
          <w:lang w:val="kk-KZ"/>
        </w:rPr>
        <w:t>Алматы</w:t>
      </w:r>
      <w:r w:rsidRPr="000C3EB7">
        <w:rPr>
          <w:color w:val="auto"/>
          <w:sz w:val="28"/>
          <w:szCs w:val="28"/>
        </w:rPr>
        <w:t>» информируют студентов выпускных групп о программе «Молодежная практика».</w:t>
      </w:r>
    </w:p>
    <w:p w14:paraId="13E2321C" w14:textId="458AACA9" w:rsidR="00B80379" w:rsidRDefault="00787D5D" w:rsidP="00D07F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Особа хочу отметит </w:t>
      </w:r>
      <w:r w:rsidR="00557D1A" w:rsidRPr="000C3EB7">
        <w:rPr>
          <w:rFonts w:ascii="Times New Roman" w:hAnsi="Times New Roman" w:cs="Times New Roman"/>
          <w:sz w:val="28"/>
          <w:szCs w:val="28"/>
          <w:lang w:val="ru-RU"/>
        </w:rPr>
        <w:t>Благотворительный фонд «Эльдани»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. Фонд</w:t>
      </w:r>
      <w:r w:rsidR="00557D1A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 развивающаяся организация, открытая для сотрудничества, партнерства и обмена опытом. 1996 году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был создан</w:t>
      </w:r>
      <w:r w:rsidR="00557D1A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и оказывае</w:t>
      </w:r>
      <w:r w:rsidRPr="000C3EB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57D1A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реабилитационную, психологическую, адаптационную и материальную помощь более 700 детей и молодежи, страдающим различными нарушениями в психическом и физическом развитии. При фонде открыта творческая мастерская по изготовлению сувениров народно-прикладного искусства из керамики, кожи, войлока, бисера, дерева и других органических материалов, где уже обучились и были трудоустроены более 30 </w:t>
      </w:r>
      <w:r w:rsidR="00B80379">
        <w:rPr>
          <w:rFonts w:ascii="Times New Roman" w:hAnsi="Times New Roman" w:cs="Times New Roman"/>
          <w:sz w:val="28"/>
          <w:szCs w:val="28"/>
          <w:lang w:val="ru-RU"/>
        </w:rPr>
        <w:t>студентов особо образовательной потребностью.</w:t>
      </w:r>
      <w:r w:rsidR="00557D1A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379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По больше таких организации чтобы наши выпускники и другие люди с </w:t>
      </w:r>
      <w:r w:rsidR="00B80379">
        <w:rPr>
          <w:rFonts w:ascii="Times New Roman" w:hAnsi="Times New Roman" w:cs="Times New Roman"/>
          <w:sz w:val="28"/>
          <w:szCs w:val="28"/>
          <w:lang w:val="ru-RU"/>
        </w:rPr>
        <w:t>особо образовательными потребностями</w:t>
      </w:r>
      <w:r w:rsidR="00B80379" w:rsidRPr="000C3EB7">
        <w:rPr>
          <w:rFonts w:ascii="Times New Roman" w:hAnsi="Times New Roman" w:cs="Times New Roman"/>
          <w:sz w:val="28"/>
          <w:szCs w:val="28"/>
          <w:lang w:val="ru-RU"/>
        </w:rPr>
        <w:t xml:space="preserve"> смогли приобрести свое рабочее место и место в обществе.</w:t>
      </w:r>
    </w:p>
    <w:p w14:paraId="6F3F7CA1" w14:textId="77777777" w:rsidR="00B80379" w:rsidRPr="000B449B" w:rsidRDefault="00B80379" w:rsidP="00D07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Миссия колледжа</w:t>
      </w:r>
      <w:r w:rsidRPr="000B449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449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B80379">
        <w:rPr>
          <w:rFonts w:ascii="Times New Roman" w:eastAsia="Calibri" w:hAnsi="Times New Roman" w:cs="Times New Roman"/>
          <w:sz w:val="28"/>
          <w:szCs w:val="28"/>
          <w:lang w:val="kk-KZ"/>
        </w:rPr>
        <w:t>Содействие социализации молодежи и обеспечение рынка труда Алматы и Алматинской области высококвалифицированными рабочими кадрами. Целью инклюзивного образования Алматинского колледжа технологий и флористики является создание безбарьерной среды в обучении и профессиональной подготовке молодых людей с особыми образовательными потребностями.</w:t>
      </w:r>
    </w:p>
    <w:p w14:paraId="36366C7B" w14:textId="323D3810" w:rsidR="002D4667" w:rsidRPr="000B449B" w:rsidRDefault="002D4667" w:rsidP="00D07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говорил </w:t>
      </w:r>
      <w:r w:rsidRPr="002D4667">
        <w:rPr>
          <w:rFonts w:ascii="Times New Roman" w:hAnsi="Times New Roman" w:cs="Times New Roman"/>
          <w:sz w:val="28"/>
          <w:szCs w:val="28"/>
          <w:lang w:val="kk-KZ"/>
        </w:rPr>
        <w:t xml:space="preserve">Уилльям Артут Ворд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4667">
        <w:rPr>
          <w:rFonts w:ascii="Times New Roman" w:hAnsi="Times New Roman" w:cs="Times New Roman"/>
          <w:sz w:val="28"/>
          <w:szCs w:val="28"/>
          <w:lang w:val="kk-KZ"/>
        </w:rPr>
        <w:t>Средний учитель рассказывает. Хороший учитель объясняет. Очень хороший учитель демонстрирует. Великий учитель вдохновляет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911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29118D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которые обучает студентов</w:t>
      </w:r>
      <w:r w:rsidRPr="002D4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0379">
        <w:rPr>
          <w:rFonts w:ascii="Times New Roman" w:eastAsia="Calibri" w:hAnsi="Times New Roman" w:cs="Times New Roman"/>
          <w:sz w:val="28"/>
          <w:szCs w:val="28"/>
          <w:lang w:val="kk-KZ"/>
        </w:rPr>
        <w:t>с особыми образовательными потребностями</w:t>
      </w:r>
      <w:r w:rsidR="002911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Великие! </w:t>
      </w:r>
    </w:p>
    <w:p w14:paraId="4228D827" w14:textId="77777777" w:rsidR="00E45660" w:rsidRPr="000C3EB7" w:rsidRDefault="00E45660" w:rsidP="00D07F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5660" w:rsidRPr="000C3EB7" w:rsidSect="005335A7">
      <w:pgSz w:w="12240" w:h="15840"/>
      <w:pgMar w:top="851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AC"/>
    <w:rsid w:val="000C3EB7"/>
    <w:rsid w:val="00174931"/>
    <w:rsid w:val="00193DB9"/>
    <w:rsid w:val="001A19AC"/>
    <w:rsid w:val="001B74A1"/>
    <w:rsid w:val="001C2953"/>
    <w:rsid w:val="001E3F92"/>
    <w:rsid w:val="00214C44"/>
    <w:rsid w:val="00272E34"/>
    <w:rsid w:val="0029118D"/>
    <w:rsid w:val="002D0855"/>
    <w:rsid w:val="002D4667"/>
    <w:rsid w:val="00310547"/>
    <w:rsid w:val="003A3EBC"/>
    <w:rsid w:val="003F71AC"/>
    <w:rsid w:val="00413114"/>
    <w:rsid w:val="004557BF"/>
    <w:rsid w:val="004604EF"/>
    <w:rsid w:val="00465740"/>
    <w:rsid w:val="004E44E1"/>
    <w:rsid w:val="005335A7"/>
    <w:rsid w:val="00557D1A"/>
    <w:rsid w:val="00582B7A"/>
    <w:rsid w:val="00622FED"/>
    <w:rsid w:val="006942D9"/>
    <w:rsid w:val="007446FA"/>
    <w:rsid w:val="0074671B"/>
    <w:rsid w:val="007841E7"/>
    <w:rsid w:val="00787D5D"/>
    <w:rsid w:val="007D12B4"/>
    <w:rsid w:val="008170EC"/>
    <w:rsid w:val="00855A92"/>
    <w:rsid w:val="00866DCD"/>
    <w:rsid w:val="00876C1A"/>
    <w:rsid w:val="00925D37"/>
    <w:rsid w:val="00947B06"/>
    <w:rsid w:val="00A65C8E"/>
    <w:rsid w:val="00AB0E8A"/>
    <w:rsid w:val="00AC3F7B"/>
    <w:rsid w:val="00AC4C77"/>
    <w:rsid w:val="00AE0239"/>
    <w:rsid w:val="00AE3050"/>
    <w:rsid w:val="00B3148B"/>
    <w:rsid w:val="00B3646E"/>
    <w:rsid w:val="00B72B50"/>
    <w:rsid w:val="00B80379"/>
    <w:rsid w:val="00B818EB"/>
    <w:rsid w:val="00C65228"/>
    <w:rsid w:val="00CD4B34"/>
    <w:rsid w:val="00D07F3D"/>
    <w:rsid w:val="00D33EC8"/>
    <w:rsid w:val="00D57598"/>
    <w:rsid w:val="00D95B53"/>
    <w:rsid w:val="00DC2F16"/>
    <w:rsid w:val="00E45660"/>
    <w:rsid w:val="00E6099E"/>
    <w:rsid w:val="00ED5379"/>
    <w:rsid w:val="00F1300D"/>
    <w:rsid w:val="00F341C3"/>
    <w:rsid w:val="00F3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D2F"/>
  <w15:docId w15:val="{A442E856-65FA-420B-A2DA-7AD6E5A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C7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30595654709826"/>
          <c:y val="6.7024128686327081E-2"/>
          <c:w val="0.76526811752697577"/>
          <c:h val="0.716180433880081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FF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K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</c:v>
                </c:pt>
                <c:pt idx="1">
                  <c:v>0.78</c:v>
                </c:pt>
                <c:pt idx="2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3-4728-ABDD-A8A351D4D45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74684863"/>
        <c:axId val="1774689023"/>
      </c:barChart>
      <c:catAx>
        <c:axId val="1774684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774689023"/>
        <c:crosses val="autoZero"/>
        <c:auto val="1"/>
        <c:lblAlgn val="ctr"/>
        <c:lblOffset val="100"/>
        <c:noMultiLvlLbl val="0"/>
      </c:catAx>
      <c:valAx>
        <c:axId val="1774689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774684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K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Шубаева</dc:creator>
  <cp:keywords/>
  <dc:description/>
  <cp:lastModifiedBy>Ажар Шубаева</cp:lastModifiedBy>
  <cp:revision>8</cp:revision>
  <dcterms:created xsi:type="dcterms:W3CDTF">2021-03-10T04:41:00Z</dcterms:created>
  <dcterms:modified xsi:type="dcterms:W3CDTF">2021-03-31T14:44:00Z</dcterms:modified>
</cp:coreProperties>
</file>