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D3" w:rsidRPr="0078243C" w:rsidRDefault="002A5B36" w:rsidP="00272F8A">
      <w:pPr>
        <w:spacing w:after="0" w:line="240" w:lineRule="auto"/>
        <w:ind w:firstLine="567"/>
        <w:contextualSpacing/>
        <w:jc w:val="center"/>
        <w:rPr>
          <w:rFonts w:ascii="Times New Roman" w:hAnsi="Times New Roman" w:cs="Times New Roman"/>
          <w:b/>
          <w:sz w:val="24"/>
          <w:szCs w:val="24"/>
        </w:rPr>
      </w:pPr>
      <w:r w:rsidRPr="0078243C">
        <w:rPr>
          <w:rFonts w:ascii="Times New Roman" w:hAnsi="Times New Roman" w:cs="Times New Roman"/>
          <w:b/>
          <w:sz w:val="24"/>
          <w:szCs w:val="24"/>
        </w:rPr>
        <w:t>«МАГИСТРАНТ ПЕДАГОГТАРДЫҢ КӘСІБИ ТАБЫСТЫЛЫҒЫН ҚАЛЫПТАСТЫРУДЫҢ ТЕОРИЯЛЫҚ НЕГІЗДЕРІ» АТТЫ АРНАЙЫ КУРС</w:t>
      </w:r>
    </w:p>
    <w:p w:rsidR="002A5B36" w:rsidRPr="0078243C" w:rsidRDefault="002A5B36" w:rsidP="002A5B36">
      <w:pPr>
        <w:spacing w:after="0" w:line="240" w:lineRule="auto"/>
        <w:ind w:firstLine="567"/>
        <w:contextualSpacing/>
        <w:jc w:val="both"/>
        <w:rPr>
          <w:sz w:val="24"/>
          <w:szCs w:val="24"/>
        </w:rPr>
      </w:pP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Кәсіби-педагогикалық біліктілік адам әрекетінің эффективтілігінің басты факторларының бірі болып саналады. Осы әрекеттердің түрлі көрінісі (өндірістік, білім алу әрекеті) қандай сипатта болмасын адамдардың ұжымдық қарым-қатынастары арқылы жүзеге асады. Адамның тұлғалық дамуына тікелей қатысты факторлар қатарында біліктіліктің орыны ерекше десек болады.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Ғылыми әдебиеттерде біліктілік мәселесі түрлі аспектілерде қарастырылған. Бірақ университеттің магистратура бөлімінде білім алушы студенттердің біліктілігі бүгінгі таңда тереңірек қарастыруды қажет етуде. Бітіруші түлектердің бойында білім алу барысында қалыптасқан біліктіліктер деңгейін анықтау, оларға сол жайында терең түсінік қалыптастыру маңызды мәселе болып отыр</w:t>
      </w:r>
      <w:r w:rsidR="00273398" w:rsidRPr="0078243C">
        <w:rPr>
          <w:rFonts w:ascii="Times New Roman" w:eastAsia="Times New Roman" w:hAnsi="Times New Roman" w:cs="Times New Roman"/>
          <w:sz w:val="24"/>
          <w:szCs w:val="24"/>
          <w:lang w:val="kk-KZ" w:eastAsia="zh-CN"/>
        </w:rPr>
        <w:t xml:space="preserve"> [1]</w:t>
      </w:r>
      <w:r w:rsidRPr="0078243C">
        <w:rPr>
          <w:rFonts w:ascii="Times New Roman" w:eastAsia="Times New Roman" w:hAnsi="Times New Roman" w:cs="Times New Roman"/>
          <w:sz w:val="24"/>
          <w:szCs w:val="24"/>
          <w:lang w:val="kk-KZ" w:eastAsia="zh-CN"/>
        </w:rPr>
        <w:t>.</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Бұл арнайы курс педагогтардың кәсіби табыстылығын қалыптастыруды көздейді. Курс магистранттар мен болашақ педагогтарды кәсіби дамуға қажетті теориялық біліммен қамтамасыз ету, олардың педагогикалық қызметтерінде табысты болуына көмектесуге бағытталған. Курс барысында педагогтардың кәсіби табыстылығын анықтайтын негізгі факторлар, оларды қалыптастыру үшін қажет дағдылар мен білімдер талқыланады.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Курстың мақсаты: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 педагогтарды кәсіби табыстылықты қалып</w:t>
      </w:r>
      <w:bookmarkStart w:id="0" w:name="_GoBack"/>
      <w:bookmarkEnd w:id="0"/>
      <w:r w:rsidRPr="0078243C">
        <w:rPr>
          <w:rFonts w:ascii="Times New Roman" w:eastAsia="Times New Roman" w:hAnsi="Times New Roman" w:cs="Times New Roman"/>
          <w:sz w:val="24"/>
          <w:szCs w:val="24"/>
          <w:lang w:val="kk-KZ" w:eastAsia="zh-CN"/>
        </w:rPr>
        <w:t>тастыруға бағытталған теориялық білімдермен қамтамасыз ету.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Педагогтардың кәсіби қызметінде табысты болуға ықпал ететін негізгі факторлар мен құндылықтарды түсіндіру.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Магистранттардың педагогикалық қызметте тиімділікке жету үшін қажетті дағдылар мен тәсілдерді дамыту.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Курстың міндеттері: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 табыстылықтың теориялық негіздерін зерттеу: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Педагогтардың кәсіби табыстылығы дегеніміз не және оның негізгі белгілері қандай.</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Педагогтың кәсіби қызметіндегі табыстылықтың негізгі көрсеткіштері мен өлшемдері.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 табыстылықты қалыптастыруға әсер ететін факторлар: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Жеке тұлғаның қасиеттері: жеке мотивация, кәсіби бейімділік, жауапкершілік, коммуникациялық дағдылар.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 білім және дағдылар: педагогикалық теория мен тәжірибенің үйлесімі, білім беру әдістері мен техникалары.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Әлеуметтік және мәдени контекст: қоғамдағы өзгерістер, әлеуметтік жағдайлар мен мәдени құндылықтар.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Педагогикалық табыстылықты қалыптастыруға қажетті құндылықтар мен дағдылар: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Коммуникациялық дағдылар: педагогтың студенттермен, әріптестерімен, ата-аналармен тиімді қарым-қатынас орнату қабілеті.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Көшбасшылық дағдылары: топтық жұмыс, студенттерді басқару, топтағы өзара әрекеттесу процесін басқару.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Жаңашылдық және шығармашылық: педагогтің жаңа әдістер мен тәсілдерді қолдануға дайындығы.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Педагогикалық табыстылықтың өлшемдері мен көрсеткіштері: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Оқыту процесіндегі нәтижелер: студенттердің білім сапасы мен олардың кәсіби дамуы.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Педагогтың жеке тұлғалық және кәсіби өсуі, сондай-ақ оның қызметінің сапасы.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Педагогтың кәсіби табыстылығын бағалау: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Педагогтың кәсіби қызметіндегі жетістіктерін бағалаудың әдіс-тәсілдері мен критерийлері.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Студенттердің пікірлері, әріптестерінің бағалауы, өзара әрекеттесу нәтижелері.</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lastRenderedPageBreak/>
        <w:t>Магистрант педагогтар кәсіби табыстылықтың негізгі теориялық аспектілерін түсінеді және оларды өз тәжірибесінде қолдана алады.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Олардың педагогикалық қызметінде табысты болуына ықпал ететін дағдылар мен білімдер дамиды.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 педагогтар өздерінің жеке және кәсіби өсуі үшін нақты жоспарлар құрып, оны жүзеге асырудың жолдарын анықтайды.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 «Магистрант педагогтардың кәсіби табыстылығын қалыптастырудың теориялық негіздері» атты курс болашақ педагогтардың білім беру саласындағы табысты жұмыс істеуі үшін қажет барлық теориялық негіздерді қамтамасыз етеді. Бұл курс педагогтардың кәсіби дамуын үнемі жетілдіру және өз жұмысында тиімділікке жету жолдарын көрсетеді.</w:t>
      </w:r>
    </w:p>
    <w:p w:rsidR="002A5B36" w:rsidRPr="0078243C" w:rsidRDefault="003E37E7"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  </w:t>
      </w:r>
      <w:r w:rsidR="002A5B36" w:rsidRPr="0078243C">
        <w:rPr>
          <w:rFonts w:ascii="Times New Roman" w:eastAsia="Times New Roman" w:hAnsi="Times New Roman" w:cs="Times New Roman"/>
          <w:sz w:val="24"/>
          <w:szCs w:val="24"/>
          <w:lang w:val="kk-KZ" w:eastAsia="zh-CN"/>
        </w:rPr>
        <w:t>Бүгінгі таңда жастардың білім саласын таңдауға еркіндігінің мол болуына байланысты, заманның талабына сай еңбек рыногында бәсекеге төзімді мамандар әзірлеу қажеттілігіне байланысты педагогтарға үлкен іс жүктелуде</w:t>
      </w:r>
      <w:r w:rsidR="00273398" w:rsidRPr="0078243C">
        <w:rPr>
          <w:rFonts w:ascii="Times New Roman" w:eastAsia="Times New Roman" w:hAnsi="Times New Roman" w:cs="Times New Roman"/>
          <w:sz w:val="24"/>
          <w:szCs w:val="24"/>
          <w:lang w:val="kk-KZ" w:eastAsia="zh-CN"/>
        </w:rPr>
        <w:t xml:space="preserve"> [2]</w:t>
      </w:r>
      <w:r w:rsidR="002A5B36" w:rsidRPr="0078243C">
        <w:rPr>
          <w:rFonts w:ascii="Times New Roman" w:eastAsia="Times New Roman" w:hAnsi="Times New Roman" w:cs="Times New Roman"/>
          <w:sz w:val="24"/>
          <w:szCs w:val="24"/>
          <w:lang w:val="kk-KZ" w:eastAsia="zh-CN"/>
        </w:rPr>
        <w:t xml:space="preserve">. </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Университет магистранттарының педагогикалық біліктілігін қалыптастырудың методикалық әдістері жүйесінде қарастыра отырып біздің түйгеніміз:</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 білім берудегі педагогикалық технологиялық әдістер;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коммуникативтік білікті қалыптастырушы методикалық әдістер;</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өзара қарым-қатынастың, іскерлік, кәсіби-бағдырлық ойындар, вербалды емес қарым-қатынас дағдыларын игеру;</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кәсіби-педагогикалық технологияларды пайдалану дағдыларының қалыптасуы;</w:t>
      </w:r>
    </w:p>
    <w:p w:rsidR="002A5B36" w:rsidRPr="0078243C" w:rsidRDefault="002A5B36" w:rsidP="002A5B36">
      <w:pPr>
        <w:tabs>
          <w:tab w:val="left" w:pos="1276"/>
        </w:tabs>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арнайы, шағын кәсіби шеңбердегі дағдыларды игеру әдістері ерекше маңызға ие екендігі.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Осыған орай біз «Магистрант педагогтардың кәсіби біліктілігін қалыптастырудың теориялық негіздері»</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атты курсының тақырыптық жоспарын ұсынып отырмыз. Бұл бағдарлама педагогика факультетінің магистранттарына арнадық. Біз бұл бағдарламаны даярлау барысында К.Я.Вазина, А.Н.Леонтьев, А.К.Маркова, Г.Н.Сериков, В.А.Сластениндердің ғылыми еңбектеріне сүйендік</w:t>
      </w:r>
      <w:r w:rsidR="00273398" w:rsidRPr="0078243C">
        <w:rPr>
          <w:rFonts w:ascii="Times New Roman" w:eastAsia="Times New Roman" w:hAnsi="Times New Roman" w:cs="Times New Roman"/>
          <w:sz w:val="24"/>
          <w:szCs w:val="24"/>
          <w:lang w:val="kk-KZ" w:eastAsia="zh-CN"/>
        </w:rPr>
        <w:t xml:space="preserve"> [3]</w:t>
      </w:r>
      <w:r w:rsidRPr="0078243C">
        <w:rPr>
          <w:rFonts w:ascii="Times New Roman" w:eastAsia="Times New Roman" w:hAnsi="Times New Roman" w:cs="Times New Roman"/>
          <w:sz w:val="24"/>
          <w:szCs w:val="24"/>
          <w:lang w:val="kk-KZ" w:eastAsia="zh-CN"/>
        </w:rPr>
        <w:t xml:space="preserve">.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Университеттің бакалавр бөлімінің оқу бағдарламасында біліктілік мәселесінің қарастырылмайтындығын ескере отырып, ұсынып отырған бағдарламамызды еліміздегі және шет елдердегі университет білімін қалыптастырудың қоғамдық негіздерінен бастап отырмыз. Курс бағдарламасы бойынша оқу мақсатын, нәтижесін, білім мазмұнын жобалау, білім мазмұнының деңгейі критерилері, принциптері, формалары және жеке қасиеттерді тұлғалық қатынас компоненттері ретінде жобалау сияқты мәселелер қарастырылады</w:t>
      </w:r>
      <w:r w:rsidR="00273398" w:rsidRPr="0078243C">
        <w:rPr>
          <w:rFonts w:ascii="Times New Roman" w:eastAsia="Times New Roman" w:hAnsi="Times New Roman" w:cs="Times New Roman"/>
          <w:sz w:val="24"/>
          <w:szCs w:val="24"/>
          <w:lang w:val="kk-KZ" w:eastAsia="zh-CN"/>
        </w:rPr>
        <w:t xml:space="preserve"> [4]</w:t>
      </w:r>
      <w:r w:rsidRPr="0078243C">
        <w:rPr>
          <w:rFonts w:ascii="Times New Roman" w:eastAsia="Times New Roman" w:hAnsi="Times New Roman" w:cs="Times New Roman"/>
          <w:sz w:val="24"/>
          <w:szCs w:val="24"/>
          <w:lang w:val="kk-KZ" w:eastAsia="zh-CN"/>
        </w:rPr>
        <w:t>.</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Арнайы курс бағдарламасында еліміздегі және шет елдердегі университтік білімді қалыптастырудың қоғамдық негіздері алғашқы орынға қойылды. Магистранттардың кәсіби-педагогикалық даярлығының негіздері, педагогика магистранттарының кәсіби біліктілігін қалыптастырудың педагогикалық, психологиялық шарттарына да мән беріліп, педагог магистранттардың кәсіби-педагогикалық біліктілігін қалыптастырудың жүйелілік тәсілдері сияқты тақырыптар қарастырылды.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Магистранттардың кәсіби-педагогикалық даярлығының мазмұны, теориялық даярлығы, кәсіби білім шеңберінің кеңейуі және нарықтық қатынасқа сай білім мен кәсіби біліктің сай болуы сияқты мәселелер біртұтас актуалды мәселе ретінде қарастырылып отыр.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Студенттердің кәсіби білім мен білікті игерудегі танымдық әрекеттерін басқарудың теориялық негіздерін педагог магистранттардың кәсіби-педагогикалық біліктілігін қалыптастырудың нормативтік базистерімен ұштастырдық.</w:t>
      </w:r>
      <w:r w:rsidR="00273398" w:rsidRPr="0078243C">
        <w:rPr>
          <w:rFonts w:ascii="Times New Roman" w:eastAsia="Times New Roman" w:hAnsi="Times New Roman" w:cs="Times New Roman"/>
          <w:sz w:val="24"/>
          <w:szCs w:val="24"/>
          <w:lang w:val="kk-KZ" w:eastAsia="zh-CN"/>
        </w:rPr>
        <w:t xml:space="preserve"> [5]</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Тақырыптық жоспардың соңына қарай магистранттардың психофизиологиялық даярлығы: білім саласының кәсіби маман даярлаудағы мазмұнының жаңартылуы мәселелері және оны шешу жолдары да қамтылды. Педагогикалық әрекетте тұлғаның өзін өзі қалыптастыру потенциалы, болашақ маман даярлауда тұлғаның өзін өзі дамытуы басты мәселе ретінде кәсіби-педагогикалық біліктіліктің басты тармақтары қатарында қарастыруды жөн көрдік.</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Педагог магистранттардың кәсіби-педагогикалық біліктілігінің шарттары лекция тақырыптарының соңғы жағына қарай орналастырылды. Біліктілікті анықтайтын негізгі </w:t>
      </w:r>
      <w:r w:rsidRPr="0078243C">
        <w:rPr>
          <w:rFonts w:ascii="Times New Roman" w:eastAsia="Times New Roman" w:hAnsi="Times New Roman" w:cs="Times New Roman"/>
          <w:sz w:val="24"/>
          <w:szCs w:val="24"/>
          <w:lang w:val="kk-KZ" w:eastAsia="zh-CN"/>
        </w:rPr>
        <w:lastRenderedPageBreak/>
        <w:t xml:space="preserve">факторлар мен шарттарды  анықтаумен курстың тақырыптық бағдарламасын тәмамдауды жөн көрдік.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Курстық бағдарламаның жалпы лекциясының тақырыптық тізімі семинар және практикалық тақырыптармен тығыз байланыста қарастырылып, сабақтастық принципімен құрастырылды. Семинар тақырыптарына лекция тақырыптарымен мазмұндық байланыстағы тақырыптар мен өзара пікірталас ретінде немесе дискуссия түрінде жүргізілетін тақырыптар таңдап алынды. Лекция тақырыптары мен семинар және практика тақырыптарының мазмұндық жалғастықтары басты шарт болып табылады. Бірінші орынға педагог магистранттардың кәсіби біліктілік деңгейін экспертті бағалаудың әдістемелік негіздері қойылды.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Жоғары мектеп оқытушысының жаңашыл әрекеті, мазмұны қазіргі кезде аса маңызды мәселе болып отыр, сол себепті бұл тақырып Қазақстандағы педагогикалық білім дамуының тенденцияларымен тығыз байланысты қарастырылуда. Республиканың білім беру саласындағы жаңашыл әрекеттердің болашақ бағдарына магистранттардың назарын аудартуды жөн деп таптық. Жаңашыл әрекеттер нәтижесін педагогика бойынша магистратура жұмысына енгізудің маңызын да ескертіп өттік.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кәсіби-педагогикалық біліктілігінің қалыптасуына  қойылатын негізгі шарттар мен педагогикалық әрекеттердің негізгі стильдері бір бірімен ұштастырылып отыр. Педагогикалық әрекеттердің стильдерінің кәсіби даярлық деңгейіне, теориялық білім мен магистранттың кәсіби біліктілігіне қатысы бүгінгі күннің маңызды мәселелерінің бірі ретінде қарастырылып отыр.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Мамандар даярлауда ерекше назар аударатын жай кәсіби-педагогикалық қарым-қатынас мәдениеті. Педагогика факультетін аяқтаушы магистранттардың педагогикалық мәдениетінің қалыптасуының қандай деңгейде екендігін анықтаудың мәні зор. Магистранттардың педагогикалық біліктілігін қалыптастырудың тиімділігін бағалау шарттары</w:t>
      </w:r>
      <w:r w:rsidR="00273398" w:rsidRPr="0078243C">
        <w:rPr>
          <w:rFonts w:ascii="Times New Roman" w:eastAsia="Times New Roman" w:hAnsi="Times New Roman" w:cs="Times New Roman"/>
          <w:sz w:val="24"/>
          <w:szCs w:val="24"/>
          <w:lang w:val="kk-KZ" w:eastAsia="zh-CN"/>
        </w:rPr>
        <w:t xml:space="preserve"> [6]</w:t>
      </w:r>
      <w:r w:rsidRPr="0078243C">
        <w:rPr>
          <w:rFonts w:ascii="Times New Roman" w:eastAsia="Times New Roman" w:hAnsi="Times New Roman" w:cs="Times New Roman"/>
          <w:sz w:val="24"/>
          <w:szCs w:val="24"/>
          <w:lang w:val="kk-KZ" w:eastAsia="zh-CN"/>
        </w:rPr>
        <w:t>.</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Классикалық университет оқытушыларының кәсіби-педагогикалық әрекет саласындағы гуманистикалық дамудың бастаулары алғашқы қатарлы мәселелердің бірі болып саналады. Гуманистік бағытта тұлғаның өзін өзі дамытуының үздіксіздік сипаты біліктіліктің қалыптасуының басты факторларының бірі болып танылады</w:t>
      </w:r>
      <w:r w:rsidR="00273398" w:rsidRPr="0078243C">
        <w:rPr>
          <w:rFonts w:ascii="Times New Roman" w:eastAsia="Times New Roman" w:hAnsi="Times New Roman" w:cs="Times New Roman"/>
          <w:sz w:val="24"/>
          <w:szCs w:val="24"/>
          <w:lang w:val="kk-KZ" w:eastAsia="zh-CN"/>
        </w:rPr>
        <w:t>[7]</w:t>
      </w:r>
      <w:r w:rsidRPr="0078243C">
        <w:rPr>
          <w:rFonts w:ascii="Times New Roman" w:eastAsia="Times New Roman" w:hAnsi="Times New Roman" w:cs="Times New Roman"/>
          <w:sz w:val="24"/>
          <w:szCs w:val="24"/>
          <w:lang w:val="kk-KZ" w:eastAsia="zh-CN"/>
        </w:rPr>
        <w:t>. Магистранттардың педагогика бойынша тұлғалық бағдарлық білім алуымен бірлестікте қарастырылып отыр. Білім алушының өзін өзі танытуы, өзін өзі танытудың мотивтері мен қажеттіліктері тереңірек қарастырылуды қажет ететіндігін де атап өтуді жөт деп таптық.</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Сонымен арнайы курсымыздың тақырыптық бағдарламасын құрастырудағы біздің басты мақсатымыз магистранттардың кәсіби-педагогикалық біліктілік жайындағы түсінігін тереңдете түсіп, оны қалыптастырудың мазмұны мен жүйелілігіне назар аудартпақпыз. Арнайы курсты теориялық жағынан негіздеп, практикалық жағынан дәлелдеу осы бағдарламаны практикада қолданысқа енгізу барысында нақтыланады деген ойдамыз.</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Бүгінгі таңда жастардың білім саласын таңдауға еркіндігінің мол болуына байланысты, заманның талабына сай еңбек рыногында бәсекеге төзімді мамандар әзірлеу қажеттілігіне байланысты педагогтарға үлкен іс жүктелуде.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Осы мақсатқа сай біз </w:t>
      </w:r>
      <w:r w:rsidRPr="0078243C">
        <w:rPr>
          <w:rFonts w:ascii="Times New Roman" w:eastAsia="Times New Roman" w:hAnsi="Times New Roman" w:cs="Times New Roman"/>
          <w:b/>
          <w:sz w:val="24"/>
          <w:szCs w:val="24"/>
          <w:lang w:val="kk-KZ" w:eastAsia="zh-CN"/>
        </w:rPr>
        <w:t>«</w:t>
      </w:r>
      <w:r w:rsidRPr="0078243C">
        <w:rPr>
          <w:rFonts w:ascii="Times New Roman" w:eastAsia="Times New Roman" w:hAnsi="Times New Roman" w:cs="Times New Roman"/>
          <w:sz w:val="24"/>
          <w:szCs w:val="24"/>
          <w:lang w:val="kk-KZ" w:eastAsia="zh-CN"/>
        </w:rPr>
        <w:t>Магистранттардың педагогикалық біліктілігін қалыптастырудың теориялық негіздері»</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 xml:space="preserve">атты курсының бағдарламасын ұсынып отырмыз. Бұл бағдарлама педагогика факультетінің магистранттарына арналған. Университеттің бакалавр бөлімінің оқу бағдарламасында біліктілік мәселесінің қарастырылмайтындығын ескере отырып, ұсынып отырған бағдарламамызды еліміздегі және шет елдердегі университет білімін қалыптастырудың қоғамдық негіздерінен бастап отырмыз.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Бағдарлама 30 сағатқа жоспарланып отыр, оның 15 сағаты лекция, 15 сағаты семинар және практика сабақтарына арналды.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Кесте 1. Сабақтың күнтізбелік - тақырыптық жоспары</w:t>
      </w:r>
    </w:p>
    <w:tbl>
      <w:tblPr>
        <w:tblW w:w="9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798"/>
        <w:gridCol w:w="10"/>
        <w:gridCol w:w="1070"/>
        <w:gridCol w:w="900"/>
        <w:gridCol w:w="900"/>
        <w:gridCol w:w="1270"/>
      </w:tblGrid>
      <w:tr w:rsidR="002A5B36" w:rsidRPr="0078243C" w:rsidTr="002A5B36">
        <w:trPr>
          <w:cantSplit/>
        </w:trPr>
        <w:tc>
          <w:tcPr>
            <w:tcW w:w="709" w:type="dxa"/>
            <w:shd w:val="clear" w:color="auto" w:fill="auto"/>
            <w:tcMar>
              <w:left w:w="108" w:type="dxa"/>
              <w:right w:w="108" w:type="dxa"/>
            </w:tcMar>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w:t>
            </w:r>
          </w:p>
        </w:tc>
        <w:tc>
          <w:tcPr>
            <w:tcW w:w="4808" w:type="dxa"/>
            <w:gridSpan w:val="2"/>
            <w:shd w:val="clear" w:color="auto" w:fill="auto"/>
            <w:tcMar>
              <w:left w:w="108" w:type="dxa"/>
              <w:right w:w="108" w:type="dxa"/>
            </w:tcMar>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Тақырыбы </w:t>
            </w:r>
          </w:p>
        </w:tc>
        <w:tc>
          <w:tcPr>
            <w:tcW w:w="4140" w:type="dxa"/>
            <w:gridSpan w:val="4"/>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r>
      <w:tr w:rsidR="002A5B36" w:rsidRPr="0078243C" w:rsidTr="002A5B36">
        <w:tblPrEx>
          <w:tblCellMar>
            <w:left w:w="108" w:type="dxa"/>
            <w:right w:w="108" w:type="dxa"/>
          </w:tblCellMar>
        </w:tblPrEx>
        <w:trPr>
          <w:trHeight w:val="185"/>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Лекция </w:t>
            </w:r>
          </w:p>
        </w:tc>
        <w:tc>
          <w:tcPr>
            <w:tcW w:w="1980" w:type="dxa"/>
            <w:gridSpan w:val="3"/>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Дәріс </w:t>
            </w:r>
          </w:p>
        </w:tc>
        <w:tc>
          <w:tcPr>
            <w:tcW w:w="217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семинар</w:t>
            </w:r>
          </w:p>
        </w:tc>
      </w:tr>
      <w:tr w:rsidR="002A5B36" w:rsidRPr="0078243C" w:rsidTr="002A5B36">
        <w:tblPrEx>
          <w:tblCellMar>
            <w:left w:w="108" w:type="dxa"/>
            <w:right w:w="108" w:type="dxa"/>
          </w:tblCellMar>
        </w:tblPrEx>
        <w:trPr>
          <w:trHeight w:val="520"/>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Апта </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Сағат саны </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Апта</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Сағат саны </w:t>
            </w:r>
          </w:p>
        </w:tc>
      </w:tr>
      <w:tr w:rsidR="002A5B36" w:rsidRPr="0078243C" w:rsidTr="002A5B36">
        <w:tblPrEx>
          <w:tblCellMar>
            <w:left w:w="108" w:type="dxa"/>
            <w:right w:w="108" w:type="dxa"/>
          </w:tblCellMar>
        </w:tblPrEx>
        <w:trPr>
          <w:trHeight w:val="74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Еліміздегі және шет елдерде университеттік білімді қалыптастыру–дың қоғамдық негіздер.</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0,5</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66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2</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Магистранттардың кәсіби-педагоги–калық даярлығының негіздері. </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0,5</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920"/>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3</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 магистранттарының кәсіби біліктілігін қалыптастырудың педаго–гикалық, психологиялық шарттары.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2</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2</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88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4</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педагоги–калық біліктілігін қалыптастырудың жүйелілік тәсілдері.</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3</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3</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880"/>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5</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Магистранттардың кәсіби-педаго–гикалық даярлығының мазмұны. Теориялық даярлығы, кәсіби білім шеңберінің кеңейуі және нарықтық қатынасқа сай білім мен кәсіби біліктің сай болуы.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4</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4</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66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6</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Студенттердің кәсіби білім мен білікті игерудегі танымдық әрекеттерін басқарудың теориялық негіздері.</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5</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5</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88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7</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кәсіби-педагогикалық біліктілігін қалып–тастырудың нормативтік базисі</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6</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6</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599"/>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«Педагогикалық біліктілікті қалып–тастырудағы отандық және шетелдік тәжірибе» атты тақырыпта дөңгелек стол.</w:t>
            </w:r>
          </w:p>
        </w:tc>
        <w:tc>
          <w:tcPr>
            <w:tcW w:w="1080" w:type="dxa"/>
            <w:gridSpan w:val="2"/>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900"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7</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15</w:t>
            </w:r>
          </w:p>
        </w:tc>
      </w:tr>
      <w:tr w:rsidR="002A5B36" w:rsidRPr="0078243C" w:rsidTr="002A5B36">
        <w:tblPrEx>
          <w:tblCellMar>
            <w:left w:w="108" w:type="dxa"/>
            <w:right w:w="108" w:type="dxa"/>
          </w:tblCellMar>
        </w:tblPrEx>
        <w:trPr>
          <w:trHeight w:val="92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8</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Магистранттардың психофизиоло–гиялық даярлығы: білім саласының кәсіби маман даярлаудағы мазмұны–ның жаңартылуы мәселелері.</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7</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7</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70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9</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Өзін-өзі қалыптастыру потен–циалы, болашақ маман даярлауда тұлғаның өзін-өзі дамытуы.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8</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8</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52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10</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педагоги–калық біліктілігінің шарттары.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9</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9</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880"/>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11</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 біліктілік деңгейін экспертті бағалаудың әдісте–мелік негіздері.</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10</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10</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116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12</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Жоғары мектеп оқытушысының жаңашыл әрекеті, мазмұны, Қазақ–стандағы педагогикалық білім дамуының тенденцияларына қатысы.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11</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62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13</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Республиканың білім беру сала–сындағы жаңашыл әрекеттердің болашақ бағдары. </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12</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12</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52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14</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Жаңашыл әрекеттер нәтижесін педагогика бойынша магистратура жұмысына енгізу.</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13</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13</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780"/>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15</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кәсіби-педагогикалық біліктілігінің қалып–тасуына  қойылатын негізгі шарттар.</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14</w:t>
            </w: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p>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14</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1265"/>
        </w:trPr>
        <w:tc>
          <w:tcPr>
            <w:tcW w:w="709"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eastAsia="zh-CN"/>
              </w:rPr>
              <w:lastRenderedPageBreak/>
              <w:t>16</w:t>
            </w: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Педагогикалық әрекеттердің негізгі стильдері. Педагогикалық әрекеттердің стильдерінің кәсіби даярлық деңгейіне, теориялық білім мен магис–транттың кәсіби біліктілігіне қатысы.</w:t>
            </w:r>
          </w:p>
        </w:tc>
        <w:tc>
          <w:tcPr>
            <w:tcW w:w="108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15</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15</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w:t>
            </w:r>
          </w:p>
        </w:tc>
      </w:tr>
      <w:tr w:rsidR="002A5B36" w:rsidRPr="0078243C" w:rsidTr="002A5B36">
        <w:tblPrEx>
          <w:tblCellMar>
            <w:left w:w="108" w:type="dxa"/>
            <w:right w:w="108" w:type="dxa"/>
          </w:tblCellMar>
        </w:tblPrEx>
        <w:trPr>
          <w:trHeight w:val="537"/>
        </w:trPr>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4798"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«Білікті мамандар – еліміздің болашағы» тақырыбында пікірсайыс.</w:t>
            </w:r>
          </w:p>
        </w:tc>
        <w:tc>
          <w:tcPr>
            <w:tcW w:w="1080" w:type="dxa"/>
            <w:gridSpan w:val="2"/>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900"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90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7</w:t>
            </w:r>
          </w:p>
        </w:tc>
        <w:tc>
          <w:tcPr>
            <w:tcW w:w="1270" w:type="dxa"/>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15</w:t>
            </w:r>
          </w:p>
        </w:tc>
      </w:tr>
      <w:tr w:rsidR="002A5B36" w:rsidRPr="0078243C" w:rsidTr="002A5B36">
        <w:tblPrEx>
          <w:tblCellMar>
            <w:left w:w="108" w:type="dxa"/>
            <w:right w:w="108" w:type="dxa"/>
          </w:tblCellMar>
        </w:tblPrEx>
        <w:tc>
          <w:tcPr>
            <w:tcW w:w="709" w:type="dxa"/>
            <w:shd w:val="clear" w:color="auto" w:fill="auto"/>
          </w:tcPr>
          <w:p w:rsidR="002A5B36" w:rsidRPr="0078243C" w:rsidRDefault="002A5B36" w:rsidP="002A5B36">
            <w:pPr>
              <w:widowControl w:val="0"/>
              <w:suppressAutoHyphens/>
              <w:snapToGrid w:val="0"/>
              <w:spacing w:after="0" w:line="240" w:lineRule="auto"/>
              <w:contextualSpacing/>
              <w:jc w:val="both"/>
              <w:rPr>
                <w:rFonts w:ascii="Times New Roman" w:eastAsia="Times New Roman" w:hAnsi="Times New Roman" w:cs="Times New Roman"/>
                <w:sz w:val="24"/>
                <w:szCs w:val="24"/>
                <w:lang w:val="kk-KZ" w:eastAsia="zh-CN"/>
              </w:rPr>
            </w:pPr>
          </w:p>
        </w:tc>
        <w:tc>
          <w:tcPr>
            <w:tcW w:w="6778" w:type="dxa"/>
            <w:gridSpan w:val="4"/>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 xml:space="preserve">Барлығы </w:t>
            </w:r>
          </w:p>
        </w:tc>
        <w:tc>
          <w:tcPr>
            <w:tcW w:w="2170" w:type="dxa"/>
            <w:gridSpan w:val="2"/>
            <w:shd w:val="clear" w:color="auto" w:fill="auto"/>
          </w:tcPr>
          <w:p w:rsidR="002A5B36" w:rsidRPr="0078243C" w:rsidRDefault="002A5B36" w:rsidP="002A5B36">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78243C">
              <w:rPr>
                <w:rFonts w:ascii="Times New Roman" w:eastAsia="Times New Roman" w:hAnsi="Times New Roman" w:cs="Times New Roman"/>
                <w:sz w:val="24"/>
                <w:szCs w:val="24"/>
                <w:lang w:val="kk-KZ" w:eastAsia="zh-CN"/>
              </w:rPr>
              <w:t>30</w:t>
            </w:r>
          </w:p>
        </w:tc>
      </w:tr>
    </w:tbl>
    <w:p w:rsidR="002A5B36" w:rsidRPr="0078243C" w:rsidRDefault="002A5B36" w:rsidP="002A5B36">
      <w:pPr>
        <w:suppressAutoHyphens/>
        <w:spacing w:after="0" w:line="240" w:lineRule="auto"/>
        <w:contextualSpacing/>
        <w:jc w:val="both"/>
        <w:rPr>
          <w:rFonts w:ascii="Times New Roman" w:eastAsia="Times New Roman" w:hAnsi="Times New Roman" w:cs="Times New Roman"/>
          <w:b/>
          <w:sz w:val="24"/>
          <w:szCs w:val="24"/>
          <w:lang w:val="kk-KZ" w:eastAsia="zh-CN"/>
        </w:rPr>
      </w:pPr>
    </w:p>
    <w:p w:rsidR="002A5B36" w:rsidRPr="0078243C" w:rsidRDefault="002A5B36" w:rsidP="002A5B36">
      <w:pPr>
        <w:keepNext/>
        <w:numPr>
          <w:ilvl w:val="6"/>
          <w:numId w:val="1"/>
        </w:numPr>
        <w:suppressAutoHyphens/>
        <w:spacing w:after="0" w:line="240" w:lineRule="auto"/>
        <w:ind w:firstLine="567"/>
        <w:contextualSpacing/>
        <w:jc w:val="both"/>
        <w:outlineLvl w:val="6"/>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Лекция тақырыптары</w:t>
      </w:r>
      <w:r w:rsidR="00272F8A" w:rsidRPr="0078243C">
        <w:rPr>
          <w:rFonts w:ascii="Times New Roman" w:eastAsia="Times New Roman" w:hAnsi="Times New Roman" w:cs="Times New Roman"/>
          <w:sz w:val="24"/>
          <w:szCs w:val="24"/>
          <w:lang w:val="kk-KZ" w:eastAsia="zh-CN"/>
        </w:rPr>
        <w:t xml:space="preserve">: </w:t>
      </w:r>
    </w:p>
    <w:p w:rsidR="002A5B36" w:rsidRPr="0078243C" w:rsidRDefault="002A5B36" w:rsidP="002A5B36">
      <w:pPr>
        <w:keepNext/>
        <w:numPr>
          <w:ilvl w:val="6"/>
          <w:numId w:val="1"/>
        </w:numPr>
        <w:suppressAutoHyphens/>
        <w:spacing w:after="0" w:line="240" w:lineRule="auto"/>
        <w:ind w:firstLine="567"/>
        <w:contextualSpacing/>
        <w:jc w:val="both"/>
        <w:outlineLvl w:val="6"/>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1–тақырып. Еліміздегі және шет елдердегі университет білімінің қалыптастырудың қоғамдық негіздер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Университеттік білімнің қалыптасуы. Негізгі шарттары. Отандық университеттік білім жүйесінің қалыптасу тарихы. Университеттік білім жүйесінің қалыптасуының қоғамдық негіздері. Еліміздегі университеттік білім деңгейі. Шет елдердегі университеттік білім жүйесінің отандық білім жүйесінен айырмашылығы.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2–тақырып. Магистранттардың кәсіби-педагогикалық даярлығының негіздері. Педагогика магистранттарының кәсіби біліктілігін қалыптастырудың педагогикалық, психологиялық шарттары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Білік, біліктілік, кәсіби, кілттік біліктілік ұғымдарына сипаттама.</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Педагогикалық, психологиялық әдебиеттерде зерттелуі.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Университеттің магистратура бөлімінің білім жүйесінің білікті мамандар даярлаудағы рөлі. Магистранттардың кәсіби-педпгогикалық даярлығының қалыптасуы, негізгі факторлары. Педагог магистранттардың кәсіби-педагогикалық біліктілігін қалыптастырудың педагогикалық, психологиялық шарттары.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3-тақырып. Педагог магистранттардың педагогикалық біліктілігін қалыптастырудың жүйелілік тәсілдері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біліктілігінің сипаты. Магистранттар тұлғасына қойылатын негізгі талаптар. Педагогикалық біліктілікті қалыптастырудың негізгі тәсілдері. Жүйелілік тәсілі педагогтың кәсіби біліктілігін қалыптастырушы басты тиімді тәсіл ретінде.</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4-тақырып. Магистранттардың кәсіби-педагогикалық даярлығының мазмұны. Теориялық даярлығы, кәсіби білім шеңберінің кеңейуі және нарықтық қатынасқа сай білім мен кәсіби біліктің сай болуы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Магистранттардың кәсіби-педагогикалық біліктілігінің мазмұны, оны қалыптастырудың шарттары мен принциптері. Теориялық даярлық біліктіліктің тамыры ретінде. Теориялық біліктілік пен кәсіби білім шеңберінің қатынасы. Білім шеңберінің кеңейуіне негіз болатын басты факторлар. Бүгінгі таңдағы заман талабы, нарықтық қатынастарға сай біліктіліктің қалыптасуы еңбек рыногындағы бәсекеге төзімділіктің негізгі құралы ретінде.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5-тақырып. Студенттердің кәсіби білім мен білікті игерудегі танымдық әрекеттерін басқарудың теориялық негіздері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Студенттердің кәсіби білім мен білікті игерудегі танымдық әрекеттерінің көрінісі. Танымдық әрекетті басарудың теориялық негіздері. Танымдық әрекеттің магистранттардың кәсіби-педагогикалық біліктілігін қалыптастырудағы рөлі. кәсіби білімді игеру. Кәсіби білім мен біліктің ара қатынасы. Кәсіби білім, білік, дағдының басты белгілері.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6-тақырып.Педагог магистранттардың кәсіби-педагогикалық біліктілігін қалыптастырудың нормативтік базисі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кәсіби-педагогикалық біліктілігінің қалыптасу шарттары. Нормативтік базистің сипаты. Мемелекеттік білім беру стандартының кәсіби білікті қалыптастырудағы рөлі. Болашақ жоғары мектеп оқытушысын даярлауда   нормативтік базистің атқаратын қызметі.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7-тақырып. Магистранттардың психофизиологиялық даярлығы: білім саласының кәсіби маман даярлаудағы мазмұнының жаңартылуы мәселелері және оны шешу жолдары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lastRenderedPageBreak/>
        <w:t>Магистранттардың психологиялық-физиологиялық даярлығы: мамандық таңдаудағы тұлғалық қасиеттер мен қабілеттіліктердің рөлі. Білім мазмұны білікті мамандар даярлауда басты құрал. Білім саласының кәсіби маман даярлаудағы мазмұнының жаңартылуы. Білім мазмұнын жаңартудың маңызы, мәселелері, шешу жолдары. Білім мазмұны – қоғамдық талаптың көрінісі. Білім мазмұнын құрастыруда қойылатын басты талаптар.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8-тақырып. Өзін өзі қалыптастыру потенциалы, болашақ маман даярлауда тұлғаның өзін өзі дамытуы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Өзін өзі қалыптастыру мәселелері, мәні, потенциалы. Болашақ маман даярлауда тұлғаның өзін өзі дамытуының  рөлі. Тұлғалық қасиеттердің кәсіби біліктілікті қалыптастыруғы тигізетін әсері. Тұлғаның өзін өзі қалыптастыру, дамыту, тұлғалық қабілеттер, педагогикалық шеберлік, сөйлеу мәдениеті, коммуникативтік қарым-қатынас мәдениеті мәселелері.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9-тақырып. Педагог магистранттардың педагогикалық біліктілігінің шарттары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Педагог магистранттардың кәсіби-педагогикалық біліктілігінің негізгі шарттары, сипаты. Магистранттардың педагог ретінде қалыптасқан тұлғасының ерекшеліктері. Педагогтардың арнайы, тұлғалық, әрекеттік және коммуникативтік біліктіліктерінің мәні, өзара байланыстары. Болашақ жоғары мектеп оқытушысының теориялық моделін құрастыру мәселесі. Отандық және шетелдік педагог ғалымдардың теориялық модельдеріне сипаттама.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10-тақырып. Педагог магистранттардың кәсіби біліктілік деңгейін экспертті бағалаудың әдістемелік негіздері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 магистранттардың кәсіби біліктілік деңгейі.</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Экспертті бағалау әдістері не үшін қажет? Экспертті бағалау әдістердің түрлер.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11-тақырып. Жоғары мектеп оқытушысының жаңашыл әрекеті, мазмұны, Қазақстандағы педагогикалық білім дамуының тенденцияларына қатысы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Жоғары мектеп оқытушысының кәсіби әрекетінің жаңашылдығының мәні неде?</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 xml:space="preserve">Білім тенденциялары жөніндегі түсінігіңіз. Жоғары мектеп оқытушысының жаңашыл әрекетінің Қазақстандағы педагогикалық білім дамуының тенденцияларына қатысы.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12-тақырып.. Республиканың білім беру саласындағы жаңашыл әрекеттердің болашақ бағдары. Жаңашыл әрекеттер нәтижесін педагогика бойынша магистратура жұмысына енгізу</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Республиканың білім беру саласындағы жаңашыл әрекеттердің болашақ бағдары нені көздейді? Жаңашыл әрекеттер нәтижесін педагогиканың магистратура жұмысына енгізуде қандай нәтиже күтеміз?</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13-тақырып.. Педагог магистранттардың кәсіби-педагогикалық біліктілігінің қалыптасуына  қойылатын негізгі шарттар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Кәсіби біліктілік, білік, біліктілік ұғымдарына толық анықтама беріп, айырмашылықтарын ашып көрсет.</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Кәсіби–пеадгогикалық біліктіліктің қалыптасуының негізгі факторлары. Кәсіби–пеадгогикалық біліктіліктің қалыптасуына қойылатын негізгі талаптар.</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14-тақырып.. Педагогикалық әрекеттердің негізгі стильдері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Педагогикалық әрекеттердің стильдерінің кәсіби даярлығы. Педагогикалық әрекеттердің стильдерінің кәсіби даярлығы деңгейіне, теориялық білім мен магистранттың кәсіби біліктілігіне қатысы.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15-тақырып.. Кәсіби-педагогикалық қарым-қатынас мәдениеті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Қарым-қатынастың эстетикалық формалары.</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Жақсы лектор болу үшін қажет ережелер.</w:t>
      </w:r>
      <w:r w:rsidRPr="0078243C">
        <w:rPr>
          <w:rFonts w:ascii="Times New Roman" w:eastAsia="Times New Roman" w:hAnsi="Times New Roman" w:cs="Times New Roman"/>
          <w:b/>
          <w:sz w:val="24"/>
          <w:szCs w:val="24"/>
          <w:lang w:val="kk-KZ" w:eastAsia="zh-CN"/>
        </w:rPr>
        <w:t xml:space="preserve"> </w:t>
      </w:r>
      <w:r w:rsidRPr="0078243C">
        <w:rPr>
          <w:rFonts w:ascii="Times New Roman" w:eastAsia="Times New Roman" w:hAnsi="Times New Roman" w:cs="Times New Roman"/>
          <w:sz w:val="24"/>
          <w:szCs w:val="24"/>
          <w:lang w:val="kk-KZ" w:eastAsia="zh-CN"/>
        </w:rPr>
        <w:t>Педагогтың аудиториямен қарым-қатынасы, лекция оқу мәселелері. Тыңдаушыларды қалай қызықтыру керек?</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16-тақырып. Педагогика факультетін аяқтаушы магистранттардың педагогикалық мәдениетінің қалыптасуы</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Қарым-қатынастың жеке тұлғаға әсері. Педагогикалық мәдениеттің негізгі шарттары. Өзге адамның сезімімен бөлісе білу, оның сәтті қарым-қатынас жасаудағы рөлі.</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t xml:space="preserve">Арнайы курс мазмұнына қатысты ұсынылатын әдебиеттер тізімі жұмыстық қосымша бөлімінде көрсетілген.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r w:rsidRPr="0078243C">
        <w:rPr>
          <w:rFonts w:ascii="Times New Roman" w:eastAsia="Times New Roman" w:hAnsi="Times New Roman" w:cs="Times New Roman"/>
          <w:sz w:val="24"/>
          <w:szCs w:val="24"/>
          <w:lang w:val="kk-KZ" w:eastAsia="zh-CN"/>
        </w:rPr>
        <w:lastRenderedPageBreak/>
        <w:t xml:space="preserve">Бұл арнаулы курсты құрастырар алдында: курс мазмұнын қазіргі таңдағы мәселелер мен теориялық білімнің деңгейіне сай етуді; кәсіби-педагогикалық білім мен білікті игеруші студенттердің қызығушылығын оятып, қажеттіліктерін қамтамасыз ететіндей; жаңа педагогикалық технологияларды игеру мен пайдалану дағдыларын жетілдіруді; жалпыпедагогикалық дағдыларды жоғары оқу орындарындағы педагогикалық әрекеттерді сәтті атқаруға көмектесетіндей қалыпта құрастыруды көздедік. Теориялық курстың тақырыптық жоспарында университет магистранттарының кәсіби біліктілігін көтерудің жүйелілік тәсілдерін қамту көзделді.  </w:t>
      </w:r>
    </w:p>
    <w:p w:rsidR="002A5B36" w:rsidRPr="0078243C" w:rsidRDefault="002A5B36" w:rsidP="002A5B36">
      <w:pPr>
        <w:suppressAutoHyphens/>
        <w:spacing w:after="0" w:line="240" w:lineRule="auto"/>
        <w:ind w:firstLine="567"/>
        <w:contextualSpacing/>
        <w:jc w:val="both"/>
        <w:rPr>
          <w:rFonts w:ascii="Times New Roman" w:eastAsia="Times New Roman" w:hAnsi="Times New Roman" w:cs="Times New Roman"/>
          <w:sz w:val="24"/>
          <w:szCs w:val="24"/>
          <w:lang w:val="kk-KZ" w:eastAsia="zh-CN"/>
        </w:rPr>
      </w:pPr>
    </w:p>
    <w:p w:rsidR="00272F8A" w:rsidRPr="0078243C" w:rsidRDefault="00272F8A" w:rsidP="00273398">
      <w:pPr>
        <w:tabs>
          <w:tab w:val="left" w:pos="851"/>
        </w:tabs>
        <w:suppressAutoHyphens/>
        <w:spacing w:after="0" w:line="240" w:lineRule="auto"/>
        <w:ind w:firstLine="567"/>
        <w:contextualSpacing/>
        <w:jc w:val="both"/>
        <w:rPr>
          <w:rFonts w:ascii="Times New Roman" w:eastAsia="Times New Roman" w:hAnsi="Times New Roman" w:cs="Times New Roman"/>
          <w:b/>
          <w:sz w:val="24"/>
          <w:szCs w:val="24"/>
          <w:lang w:val="kk-KZ" w:eastAsia="zh-CN"/>
        </w:rPr>
      </w:pPr>
      <w:r w:rsidRPr="0078243C">
        <w:rPr>
          <w:rFonts w:ascii="Times New Roman" w:eastAsia="Times New Roman" w:hAnsi="Times New Roman" w:cs="Times New Roman"/>
          <w:b/>
          <w:sz w:val="24"/>
          <w:szCs w:val="24"/>
          <w:lang w:val="kk-KZ" w:eastAsia="zh-CN"/>
        </w:rPr>
        <w:t xml:space="preserve">Қолданылған әдебиеттер тізімі: </w:t>
      </w:r>
    </w:p>
    <w:p w:rsidR="002A5B36" w:rsidRPr="0078243C" w:rsidRDefault="002A5B36" w:rsidP="00273398">
      <w:pPr>
        <w:tabs>
          <w:tab w:val="left" w:pos="851"/>
        </w:tabs>
        <w:spacing w:after="0" w:line="240" w:lineRule="auto"/>
        <w:ind w:firstLine="567"/>
        <w:contextualSpacing/>
        <w:jc w:val="both"/>
        <w:rPr>
          <w:rFonts w:ascii="Times New Roman" w:hAnsi="Times New Roman" w:cs="Times New Roman"/>
          <w:sz w:val="24"/>
          <w:szCs w:val="24"/>
          <w:lang w:val="kk-KZ"/>
        </w:rPr>
      </w:pP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78243C">
        <w:rPr>
          <w:rFonts w:ascii="Times New Roman" w:hAnsi="Times New Roman" w:cs="Times New Roman"/>
          <w:sz w:val="24"/>
          <w:szCs w:val="24"/>
        </w:rPr>
        <w:t xml:space="preserve">Корнеенков С.С. Психологическое обеспечение профессиональной деятельности: учебное пособие для </w:t>
      </w:r>
      <w:proofErr w:type="spellStart"/>
      <w:r w:rsidRPr="0078243C">
        <w:rPr>
          <w:rFonts w:ascii="Times New Roman" w:hAnsi="Times New Roman" w:cs="Times New Roman"/>
          <w:sz w:val="24"/>
          <w:szCs w:val="24"/>
        </w:rPr>
        <w:t>бакалавриата</w:t>
      </w:r>
      <w:proofErr w:type="spellEnd"/>
      <w:r w:rsidRPr="0078243C">
        <w:rPr>
          <w:rFonts w:ascii="Times New Roman" w:hAnsi="Times New Roman" w:cs="Times New Roman"/>
          <w:sz w:val="24"/>
          <w:szCs w:val="24"/>
        </w:rPr>
        <w:t xml:space="preserve"> и </w:t>
      </w:r>
      <w:proofErr w:type="spellStart"/>
      <w:r w:rsidRPr="0078243C">
        <w:rPr>
          <w:rFonts w:ascii="Times New Roman" w:hAnsi="Times New Roman" w:cs="Times New Roman"/>
          <w:sz w:val="24"/>
          <w:szCs w:val="24"/>
        </w:rPr>
        <w:t>специалитета</w:t>
      </w:r>
      <w:proofErr w:type="spellEnd"/>
      <w:r w:rsidRPr="0078243C">
        <w:rPr>
          <w:rFonts w:ascii="Times New Roman" w:hAnsi="Times New Roman" w:cs="Times New Roman"/>
          <w:sz w:val="24"/>
          <w:szCs w:val="24"/>
        </w:rPr>
        <w:t xml:space="preserve">. – 2-е изд., </w:t>
      </w:r>
      <w:proofErr w:type="spellStart"/>
      <w:r w:rsidRPr="0078243C">
        <w:rPr>
          <w:rFonts w:ascii="Times New Roman" w:hAnsi="Times New Roman" w:cs="Times New Roman"/>
          <w:sz w:val="24"/>
          <w:szCs w:val="24"/>
        </w:rPr>
        <w:t>испр</w:t>
      </w:r>
      <w:proofErr w:type="spellEnd"/>
      <w:proofErr w:type="gramStart"/>
      <w:r w:rsidRPr="0078243C">
        <w:rPr>
          <w:rFonts w:ascii="Times New Roman" w:hAnsi="Times New Roman" w:cs="Times New Roman"/>
          <w:sz w:val="24"/>
          <w:szCs w:val="24"/>
        </w:rPr>
        <w:t>.</w:t>
      </w:r>
      <w:proofErr w:type="gramEnd"/>
      <w:r w:rsidRPr="0078243C">
        <w:rPr>
          <w:rFonts w:ascii="Times New Roman" w:hAnsi="Times New Roman" w:cs="Times New Roman"/>
          <w:sz w:val="24"/>
          <w:szCs w:val="24"/>
        </w:rPr>
        <w:t xml:space="preserve"> и доп. – М.: Издате</w:t>
      </w:r>
      <w:r w:rsidR="00273398" w:rsidRPr="0078243C">
        <w:rPr>
          <w:rFonts w:ascii="Times New Roman" w:hAnsi="Times New Roman" w:cs="Times New Roman"/>
          <w:sz w:val="24"/>
          <w:szCs w:val="24"/>
        </w:rPr>
        <w:t xml:space="preserve">льство </w:t>
      </w:r>
      <w:proofErr w:type="spellStart"/>
      <w:r w:rsidR="00273398" w:rsidRPr="0078243C">
        <w:rPr>
          <w:rFonts w:ascii="Times New Roman" w:hAnsi="Times New Roman" w:cs="Times New Roman"/>
          <w:sz w:val="24"/>
          <w:szCs w:val="24"/>
        </w:rPr>
        <w:t>Юрайт</w:t>
      </w:r>
      <w:proofErr w:type="spellEnd"/>
      <w:r w:rsidR="00273398" w:rsidRPr="0078243C">
        <w:rPr>
          <w:rFonts w:ascii="Times New Roman" w:hAnsi="Times New Roman" w:cs="Times New Roman"/>
          <w:sz w:val="24"/>
          <w:szCs w:val="24"/>
        </w:rPr>
        <w:t xml:space="preserve">, 2019. – 304 с. </w:t>
      </w: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proofErr w:type="spellStart"/>
      <w:r w:rsidRPr="0078243C">
        <w:rPr>
          <w:rFonts w:ascii="Times New Roman" w:hAnsi="Times New Roman" w:cs="Times New Roman"/>
          <w:sz w:val="24"/>
          <w:szCs w:val="24"/>
        </w:rPr>
        <w:t>Краузе</w:t>
      </w:r>
      <w:proofErr w:type="spellEnd"/>
      <w:r w:rsidRPr="0078243C">
        <w:rPr>
          <w:rFonts w:ascii="Times New Roman" w:hAnsi="Times New Roman" w:cs="Times New Roman"/>
          <w:sz w:val="24"/>
          <w:szCs w:val="24"/>
        </w:rPr>
        <w:t xml:space="preserve"> А.А. Проблема ценностей в контексте современной </w:t>
      </w:r>
      <w:proofErr w:type="spellStart"/>
      <w:r w:rsidRPr="0078243C">
        <w:rPr>
          <w:rFonts w:ascii="Times New Roman" w:hAnsi="Times New Roman" w:cs="Times New Roman"/>
          <w:sz w:val="24"/>
          <w:szCs w:val="24"/>
        </w:rPr>
        <w:t>субъектности</w:t>
      </w:r>
      <w:proofErr w:type="spellEnd"/>
      <w:r w:rsidRPr="0078243C">
        <w:rPr>
          <w:rFonts w:ascii="Times New Roman" w:hAnsi="Times New Roman" w:cs="Times New Roman"/>
          <w:sz w:val="24"/>
          <w:szCs w:val="24"/>
        </w:rPr>
        <w:t>//Вестник Пермского государственного гуманитарно-педагогического университета. Серия</w:t>
      </w:r>
      <w:r w:rsidRPr="0078243C">
        <w:rPr>
          <w:rFonts w:ascii="Times New Roman" w:hAnsi="Times New Roman" w:cs="Times New Roman"/>
          <w:sz w:val="24"/>
          <w:szCs w:val="24"/>
          <w:lang w:val="en-US"/>
        </w:rPr>
        <w:t xml:space="preserve"> № 3. </w:t>
      </w:r>
      <w:r w:rsidRPr="0078243C">
        <w:rPr>
          <w:rFonts w:ascii="Times New Roman" w:hAnsi="Times New Roman" w:cs="Times New Roman"/>
          <w:sz w:val="24"/>
          <w:szCs w:val="24"/>
        </w:rPr>
        <w:t>Гуманитарные</w:t>
      </w:r>
      <w:r w:rsidRPr="0078243C">
        <w:rPr>
          <w:rFonts w:ascii="Times New Roman" w:hAnsi="Times New Roman" w:cs="Times New Roman"/>
          <w:sz w:val="24"/>
          <w:szCs w:val="24"/>
          <w:lang w:val="en-US"/>
        </w:rPr>
        <w:t xml:space="preserve"> </w:t>
      </w:r>
      <w:r w:rsidRPr="0078243C">
        <w:rPr>
          <w:rFonts w:ascii="Times New Roman" w:hAnsi="Times New Roman" w:cs="Times New Roman"/>
          <w:sz w:val="24"/>
          <w:szCs w:val="24"/>
        </w:rPr>
        <w:t>и</w:t>
      </w:r>
      <w:r w:rsidRPr="0078243C">
        <w:rPr>
          <w:rFonts w:ascii="Times New Roman" w:hAnsi="Times New Roman" w:cs="Times New Roman"/>
          <w:sz w:val="24"/>
          <w:szCs w:val="24"/>
          <w:lang w:val="en-US"/>
        </w:rPr>
        <w:t xml:space="preserve"> </w:t>
      </w:r>
      <w:r w:rsidRPr="0078243C">
        <w:rPr>
          <w:rFonts w:ascii="Times New Roman" w:hAnsi="Times New Roman" w:cs="Times New Roman"/>
          <w:sz w:val="24"/>
          <w:szCs w:val="24"/>
        </w:rPr>
        <w:t>общественные</w:t>
      </w:r>
      <w:r w:rsidRPr="0078243C">
        <w:rPr>
          <w:rFonts w:ascii="Times New Roman" w:hAnsi="Times New Roman" w:cs="Times New Roman"/>
          <w:sz w:val="24"/>
          <w:szCs w:val="24"/>
          <w:lang w:val="en-US"/>
        </w:rPr>
        <w:t xml:space="preserve"> </w:t>
      </w:r>
      <w:r w:rsidRPr="0078243C">
        <w:rPr>
          <w:rFonts w:ascii="Times New Roman" w:hAnsi="Times New Roman" w:cs="Times New Roman"/>
          <w:sz w:val="24"/>
          <w:szCs w:val="24"/>
        </w:rPr>
        <w:t>науки</w:t>
      </w:r>
      <w:r w:rsidRPr="0078243C">
        <w:rPr>
          <w:rFonts w:ascii="Times New Roman" w:hAnsi="Times New Roman" w:cs="Times New Roman"/>
          <w:sz w:val="24"/>
          <w:szCs w:val="24"/>
          <w:lang w:val="en-US"/>
        </w:rPr>
        <w:t xml:space="preserve">. – </w:t>
      </w:r>
      <w:r w:rsidRPr="0078243C">
        <w:rPr>
          <w:rFonts w:ascii="Times New Roman" w:hAnsi="Times New Roman" w:cs="Times New Roman"/>
          <w:sz w:val="24"/>
          <w:szCs w:val="24"/>
        </w:rPr>
        <w:t>М</w:t>
      </w:r>
      <w:r w:rsidRPr="0078243C">
        <w:rPr>
          <w:rFonts w:ascii="Times New Roman" w:hAnsi="Times New Roman" w:cs="Times New Roman"/>
          <w:sz w:val="24"/>
          <w:szCs w:val="24"/>
          <w:lang w:val="en-US"/>
        </w:rPr>
        <w:t xml:space="preserve">.: </w:t>
      </w:r>
      <w:r w:rsidRPr="0078243C">
        <w:rPr>
          <w:rFonts w:ascii="Times New Roman" w:hAnsi="Times New Roman" w:cs="Times New Roman"/>
          <w:sz w:val="24"/>
          <w:szCs w:val="24"/>
        </w:rPr>
        <w:t>Мысль</w:t>
      </w:r>
      <w:r w:rsidRPr="0078243C">
        <w:rPr>
          <w:rFonts w:ascii="Times New Roman" w:hAnsi="Times New Roman" w:cs="Times New Roman"/>
          <w:sz w:val="24"/>
          <w:szCs w:val="24"/>
          <w:lang w:val="en-US"/>
        </w:rPr>
        <w:t xml:space="preserve"> 2019 – </w:t>
      </w:r>
      <w:r w:rsidRPr="0078243C">
        <w:rPr>
          <w:rFonts w:ascii="Times New Roman" w:hAnsi="Times New Roman" w:cs="Times New Roman"/>
          <w:sz w:val="24"/>
          <w:szCs w:val="24"/>
        </w:rPr>
        <w:t>С</w:t>
      </w:r>
      <w:r w:rsidR="00273398" w:rsidRPr="0078243C">
        <w:rPr>
          <w:rFonts w:ascii="Times New Roman" w:hAnsi="Times New Roman" w:cs="Times New Roman"/>
          <w:sz w:val="24"/>
          <w:szCs w:val="24"/>
          <w:lang w:val="en-US"/>
        </w:rPr>
        <w:t xml:space="preserve">. 5-18 </w:t>
      </w: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proofErr w:type="spellStart"/>
      <w:r w:rsidRPr="0078243C">
        <w:rPr>
          <w:rFonts w:ascii="Times New Roman" w:hAnsi="Times New Roman" w:cs="Times New Roman"/>
          <w:sz w:val="24"/>
          <w:szCs w:val="24"/>
          <w:lang w:val="en-US"/>
        </w:rPr>
        <w:t>Abulof</w:t>
      </w:r>
      <w:proofErr w:type="spellEnd"/>
      <w:r w:rsidRPr="0078243C">
        <w:rPr>
          <w:rFonts w:ascii="Times New Roman" w:hAnsi="Times New Roman" w:cs="Times New Roman"/>
          <w:sz w:val="24"/>
          <w:szCs w:val="24"/>
          <w:lang w:val="en-US"/>
        </w:rPr>
        <w:t xml:space="preserve"> U. Introduction: Why we need Maslow in the twenty-first century //Society. – 2017. – </w:t>
      </w:r>
      <w:r w:rsidRPr="0078243C">
        <w:rPr>
          <w:rFonts w:ascii="Times New Roman" w:hAnsi="Times New Roman" w:cs="Times New Roman"/>
          <w:sz w:val="24"/>
          <w:szCs w:val="24"/>
        </w:rPr>
        <w:t>Т</w:t>
      </w:r>
      <w:r w:rsidRPr="0078243C">
        <w:rPr>
          <w:rFonts w:ascii="Times New Roman" w:hAnsi="Times New Roman" w:cs="Times New Roman"/>
          <w:sz w:val="24"/>
          <w:szCs w:val="24"/>
          <w:lang w:val="en-US"/>
        </w:rPr>
        <w:t xml:space="preserve">. 54. – №. </w:t>
      </w:r>
      <w:r w:rsidR="00273398" w:rsidRPr="0078243C">
        <w:rPr>
          <w:rFonts w:ascii="Times New Roman" w:hAnsi="Times New Roman" w:cs="Times New Roman"/>
          <w:sz w:val="24"/>
          <w:szCs w:val="24"/>
        </w:rPr>
        <w:t xml:space="preserve">6. – С. 508-509. </w:t>
      </w: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78243C">
        <w:rPr>
          <w:rFonts w:ascii="Times New Roman" w:hAnsi="Times New Roman" w:cs="Times New Roman"/>
          <w:sz w:val="24"/>
          <w:szCs w:val="24"/>
        </w:rPr>
        <w:t>Рогожникова В.Н. Философия труда: в поисках свободы и смысла. Научные исследования экономического факультета. Электронны</w:t>
      </w:r>
      <w:r w:rsidR="00273398" w:rsidRPr="0078243C">
        <w:rPr>
          <w:rFonts w:ascii="Times New Roman" w:hAnsi="Times New Roman" w:cs="Times New Roman"/>
          <w:sz w:val="24"/>
          <w:szCs w:val="24"/>
        </w:rPr>
        <w:t xml:space="preserve">й журнал. 2017; 9(4): 79-90. </w:t>
      </w: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proofErr w:type="spellStart"/>
      <w:r w:rsidRPr="0078243C">
        <w:rPr>
          <w:rFonts w:ascii="Times New Roman" w:hAnsi="Times New Roman" w:cs="Times New Roman"/>
          <w:sz w:val="24"/>
          <w:szCs w:val="24"/>
        </w:rPr>
        <w:t>Бакштановский</w:t>
      </w:r>
      <w:proofErr w:type="spellEnd"/>
      <w:r w:rsidRPr="0078243C">
        <w:rPr>
          <w:rFonts w:ascii="Times New Roman" w:hAnsi="Times New Roman" w:cs="Times New Roman"/>
          <w:sz w:val="24"/>
          <w:szCs w:val="24"/>
        </w:rPr>
        <w:t xml:space="preserve"> В.И. Этика успеха: идея → доктрина → исследовательская концепция (предыстория проекта «Возвращение этики успеха») // Ведомости прикладной этики. 20</w:t>
      </w:r>
      <w:r w:rsidR="00273398" w:rsidRPr="0078243C">
        <w:rPr>
          <w:rFonts w:ascii="Times New Roman" w:hAnsi="Times New Roman" w:cs="Times New Roman"/>
          <w:sz w:val="24"/>
          <w:szCs w:val="24"/>
        </w:rPr>
        <w:t xml:space="preserve">16. Выпуск 49. – С. 110-136. </w:t>
      </w:r>
    </w:p>
    <w:p w:rsidR="00273398"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78243C">
        <w:rPr>
          <w:rFonts w:ascii="Times New Roman" w:hAnsi="Times New Roman" w:cs="Times New Roman"/>
          <w:sz w:val="24"/>
          <w:szCs w:val="24"/>
        </w:rPr>
        <w:t>Митина Л. Психология личностно-профессионального развития субъектов образования. – М.: Не</w:t>
      </w:r>
      <w:r w:rsidR="00273398" w:rsidRPr="0078243C">
        <w:rPr>
          <w:rFonts w:ascii="Times New Roman" w:hAnsi="Times New Roman" w:cs="Times New Roman"/>
          <w:sz w:val="24"/>
          <w:szCs w:val="24"/>
        </w:rPr>
        <w:t xml:space="preserve">стор-История, 2021. - 308 с. </w:t>
      </w:r>
    </w:p>
    <w:p w:rsidR="00272F8A" w:rsidRPr="0078243C" w:rsidRDefault="00272F8A" w:rsidP="00273398">
      <w:pPr>
        <w:pStyle w:val="a5"/>
        <w:numPr>
          <w:ilvl w:val="0"/>
          <w:numId w:val="3"/>
        </w:numPr>
        <w:tabs>
          <w:tab w:val="left" w:pos="851"/>
        </w:tabs>
        <w:spacing w:after="0" w:line="240" w:lineRule="auto"/>
        <w:ind w:left="0" w:firstLine="567"/>
        <w:jc w:val="both"/>
        <w:rPr>
          <w:rFonts w:ascii="Times New Roman" w:hAnsi="Times New Roman" w:cs="Times New Roman"/>
          <w:sz w:val="24"/>
          <w:szCs w:val="24"/>
          <w:lang w:val="kk-KZ"/>
        </w:rPr>
      </w:pPr>
      <w:r w:rsidRPr="0078243C">
        <w:rPr>
          <w:rFonts w:ascii="Times New Roman" w:hAnsi="Times New Roman" w:cs="Times New Roman"/>
          <w:sz w:val="24"/>
          <w:szCs w:val="24"/>
        </w:rPr>
        <w:t>Скворцов Л. В. Культура самосознания. Человек в поисках истины своего бытия. – М.: Политиздат, 2019. - 319 с.</w:t>
      </w:r>
    </w:p>
    <w:sectPr w:rsidR="00272F8A" w:rsidRPr="0078243C" w:rsidSect="007824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pitch w:val="fixed"/>
    <w:sig w:usb0="00000000" w:usb1="09060000" w:usb2="00000010" w:usb3="00000000" w:csb0="00080000" w:csb1="00000000"/>
  </w:font>
  <w:font w:name="Kz Times New Roman">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multilevel"/>
    <w:tmpl w:val="00000019"/>
    <w:name w:val="WWNum25"/>
    <w:lvl w:ilvl="0">
      <w:start w:val="1"/>
      <w:numFmt w:val="decimal"/>
      <w:lvlText w:val="%1."/>
      <w:lvlJc w:val="left"/>
      <w:pPr>
        <w:tabs>
          <w:tab w:val="num" w:pos="1908"/>
        </w:tabs>
        <w:ind w:left="1908" w:hanging="1200"/>
      </w:pPr>
    </w:lvl>
    <w:lvl w:ilvl="1">
      <w:start w:val="1"/>
      <w:numFmt w:val="decimal"/>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104445A3"/>
    <w:multiLevelType w:val="hybridMultilevel"/>
    <w:tmpl w:val="7EA61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36"/>
    <w:rsid w:val="00272F8A"/>
    <w:rsid w:val="00273398"/>
    <w:rsid w:val="002A5B36"/>
    <w:rsid w:val="003E37E7"/>
    <w:rsid w:val="004360D7"/>
    <w:rsid w:val="0078243C"/>
    <w:rsid w:val="00AE3AD3"/>
    <w:rsid w:val="00DF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1A1B5-D1E1-4C1F-89C6-1BFB4C0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A5B36"/>
    <w:pPr>
      <w:keepNext/>
      <w:numPr>
        <w:numId w:val="1"/>
      </w:numPr>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0"/>
    <w:link w:val="20"/>
    <w:qFormat/>
    <w:rsid w:val="002A5B36"/>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next w:val="a"/>
    <w:link w:val="30"/>
    <w:qFormat/>
    <w:rsid w:val="002A5B36"/>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2A5B36"/>
    <w:pPr>
      <w:keepNext/>
      <w:numPr>
        <w:ilvl w:val="3"/>
        <w:numId w:val="1"/>
      </w:numPr>
      <w:suppressAutoHyphens/>
      <w:spacing w:after="0" w:line="240" w:lineRule="auto"/>
      <w:outlineLvl w:val="3"/>
    </w:pPr>
    <w:rPr>
      <w:rFonts w:ascii="Times New Roman" w:eastAsia="Times New Roman" w:hAnsi="Times New Roman" w:cs="Times New Roman"/>
      <w:b/>
      <w:bCs/>
      <w:sz w:val="28"/>
      <w:szCs w:val="20"/>
      <w:lang w:eastAsia="zh-CN"/>
    </w:rPr>
  </w:style>
  <w:style w:type="paragraph" w:styleId="5">
    <w:name w:val="heading 5"/>
    <w:basedOn w:val="a"/>
    <w:next w:val="a"/>
    <w:link w:val="50"/>
    <w:qFormat/>
    <w:rsid w:val="002A5B36"/>
    <w:pPr>
      <w:keepNext/>
      <w:numPr>
        <w:ilvl w:val="4"/>
        <w:numId w:val="1"/>
      </w:numPr>
      <w:suppressAutoHyphens/>
      <w:spacing w:after="0" w:line="240" w:lineRule="auto"/>
      <w:jc w:val="center"/>
      <w:outlineLvl w:val="4"/>
    </w:pPr>
    <w:rPr>
      <w:rFonts w:ascii="Times New Roman" w:eastAsia="Batang" w:hAnsi="Times New Roman" w:cs="Times New Roman"/>
      <w:b/>
      <w:bCs/>
      <w:sz w:val="28"/>
      <w:szCs w:val="24"/>
      <w:lang w:val="kk-KZ" w:eastAsia="zh-CN"/>
    </w:rPr>
  </w:style>
  <w:style w:type="paragraph" w:styleId="6">
    <w:name w:val="heading 6"/>
    <w:basedOn w:val="a"/>
    <w:next w:val="a"/>
    <w:link w:val="60"/>
    <w:qFormat/>
    <w:rsid w:val="002A5B36"/>
    <w:pPr>
      <w:keepNext/>
      <w:widowControl w:val="0"/>
      <w:numPr>
        <w:ilvl w:val="5"/>
        <w:numId w:val="1"/>
      </w:numPr>
      <w:shd w:val="clear" w:color="auto" w:fill="FFFFFF"/>
      <w:suppressAutoHyphens/>
      <w:spacing w:after="0" w:line="240" w:lineRule="auto"/>
      <w:ind w:right="283" w:firstLine="720"/>
      <w:jc w:val="center"/>
      <w:outlineLvl w:val="5"/>
    </w:pPr>
    <w:rPr>
      <w:rFonts w:ascii="Kz Times New Roman" w:eastAsia="Batang" w:hAnsi="Kz Times New Roman" w:cs="Kz Times New Roman"/>
      <w:b/>
      <w:bCs/>
      <w:color w:val="000000"/>
      <w:sz w:val="28"/>
      <w:szCs w:val="24"/>
      <w:lang w:val="kk-KZ" w:eastAsia="zh-CN"/>
    </w:rPr>
  </w:style>
  <w:style w:type="paragraph" w:styleId="7">
    <w:name w:val="heading 7"/>
    <w:basedOn w:val="a"/>
    <w:next w:val="a"/>
    <w:link w:val="70"/>
    <w:qFormat/>
    <w:rsid w:val="002A5B36"/>
    <w:pPr>
      <w:keepNext/>
      <w:numPr>
        <w:ilvl w:val="6"/>
        <w:numId w:val="1"/>
      </w:numPr>
      <w:suppressAutoHyphens/>
      <w:spacing w:after="0" w:line="240" w:lineRule="auto"/>
      <w:jc w:val="center"/>
      <w:outlineLvl w:val="6"/>
    </w:pPr>
    <w:rPr>
      <w:rFonts w:ascii="Times New Roman" w:eastAsia="Times New Roman" w:hAnsi="Times New Roman" w:cs="Times New Roman"/>
      <w:sz w:val="28"/>
      <w:szCs w:val="28"/>
      <w:lang w:val="kk-KZ"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A5B36"/>
    <w:rPr>
      <w:rFonts w:ascii="Arial" w:eastAsia="Times New Roman" w:hAnsi="Arial" w:cs="Arial"/>
      <w:b/>
      <w:bCs/>
      <w:kern w:val="2"/>
      <w:sz w:val="32"/>
      <w:szCs w:val="32"/>
      <w:lang w:eastAsia="zh-CN"/>
    </w:rPr>
  </w:style>
  <w:style w:type="character" w:customStyle="1" w:styleId="20">
    <w:name w:val="Заголовок 2 Знак"/>
    <w:basedOn w:val="a1"/>
    <w:link w:val="2"/>
    <w:rsid w:val="002A5B36"/>
    <w:rPr>
      <w:rFonts w:ascii="Times New Roman" w:eastAsia="Times New Roman" w:hAnsi="Times New Roman" w:cs="Times New Roman"/>
      <w:b/>
      <w:bCs/>
      <w:sz w:val="36"/>
      <w:szCs w:val="36"/>
      <w:lang w:eastAsia="zh-CN"/>
    </w:rPr>
  </w:style>
  <w:style w:type="character" w:customStyle="1" w:styleId="30">
    <w:name w:val="Заголовок 3 Знак"/>
    <w:basedOn w:val="a1"/>
    <w:link w:val="3"/>
    <w:rsid w:val="002A5B36"/>
    <w:rPr>
      <w:rFonts w:ascii="Arial" w:eastAsia="Times New Roman" w:hAnsi="Arial" w:cs="Arial"/>
      <w:b/>
      <w:bCs/>
      <w:sz w:val="26"/>
      <w:szCs w:val="26"/>
      <w:lang w:eastAsia="zh-CN"/>
    </w:rPr>
  </w:style>
  <w:style w:type="character" w:customStyle="1" w:styleId="40">
    <w:name w:val="Заголовок 4 Знак"/>
    <w:basedOn w:val="a1"/>
    <w:link w:val="4"/>
    <w:rsid w:val="002A5B36"/>
    <w:rPr>
      <w:rFonts w:ascii="Times New Roman" w:eastAsia="Times New Roman" w:hAnsi="Times New Roman" w:cs="Times New Roman"/>
      <w:b/>
      <w:bCs/>
      <w:sz w:val="28"/>
      <w:szCs w:val="20"/>
      <w:lang w:eastAsia="zh-CN"/>
    </w:rPr>
  </w:style>
  <w:style w:type="character" w:customStyle="1" w:styleId="50">
    <w:name w:val="Заголовок 5 Знак"/>
    <w:basedOn w:val="a1"/>
    <w:link w:val="5"/>
    <w:rsid w:val="002A5B36"/>
    <w:rPr>
      <w:rFonts w:ascii="Times New Roman" w:eastAsia="Batang" w:hAnsi="Times New Roman" w:cs="Times New Roman"/>
      <w:b/>
      <w:bCs/>
      <w:sz w:val="28"/>
      <w:szCs w:val="24"/>
      <w:lang w:val="kk-KZ" w:eastAsia="zh-CN"/>
    </w:rPr>
  </w:style>
  <w:style w:type="character" w:customStyle="1" w:styleId="60">
    <w:name w:val="Заголовок 6 Знак"/>
    <w:basedOn w:val="a1"/>
    <w:link w:val="6"/>
    <w:rsid w:val="002A5B36"/>
    <w:rPr>
      <w:rFonts w:ascii="Kz Times New Roman" w:eastAsia="Batang" w:hAnsi="Kz Times New Roman" w:cs="Kz Times New Roman"/>
      <w:b/>
      <w:bCs/>
      <w:color w:val="000000"/>
      <w:sz w:val="28"/>
      <w:szCs w:val="24"/>
      <w:shd w:val="clear" w:color="auto" w:fill="FFFFFF"/>
      <w:lang w:val="kk-KZ" w:eastAsia="zh-CN"/>
    </w:rPr>
  </w:style>
  <w:style w:type="character" w:customStyle="1" w:styleId="70">
    <w:name w:val="Заголовок 7 Знак"/>
    <w:basedOn w:val="a1"/>
    <w:link w:val="7"/>
    <w:rsid w:val="002A5B36"/>
    <w:rPr>
      <w:rFonts w:ascii="Times New Roman" w:eastAsia="Times New Roman" w:hAnsi="Times New Roman" w:cs="Times New Roman"/>
      <w:sz w:val="28"/>
      <w:szCs w:val="28"/>
      <w:lang w:val="kk-KZ" w:eastAsia="zh-CN"/>
    </w:rPr>
  </w:style>
  <w:style w:type="paragraph" w:styleId="a0">
    <w:name w:val="Body Text"/>
    <w:basedOn w:val="a"/>
    <w:link w:val="a4"/>
    <w:uiPriority w:val="99"/>
    <w:semiHidden/>
    <w:unhideWhenUsed/>
    <w:rsid w:val="002A5B36"/>
    <w:pPr>
      <w:spacing w:after="120"/>
    </w:pPr>
  </w:style>
  <w:style w:type="character" w:customStyle="1" w:styleId="a4">
    <w:name w:val="Основной текст Знак"/>
    <w:basedOn w:val="a1"/>
    <w:link w:val="a0"/>
    <w:uiPriority w:val="99"/>
    <w:semiHidden/>
    <w:rsid w:val="002A5B36"/>
  </w:style>
  <w:style w:type="paragraph" w:styleId="a5">
    <w:name w:val="List Paragraph"/>
    <w:basedOn w:val="a"/>
    <w:uiPriority w:val="34"/>
    <w:qFormat/>
    <w:rsid w:val="0027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2025-02-20T12:47:00Z</dcterms:created>
  <dcterms:modified xsi:type="dcterms:W3CDTF">2025-02-21T04:37:00Z</dcterms:modified>
</cp:coreProperties>
</file>