
<file path=[Content_Types].xml><?xml version="1.0" encoding="utf-8"?>
<Types xmlns="http://schemas.openxmlformats.org/package/2006/content-types">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otnotes.xml" ContentType="application/vnd.openxmlformats-officedocument.wordprocessingml.footnotes+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00000001">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center"/>
        <w:rPr>
          <w:rFonts w:ascii="Times New Roman" w:hAnsi="Times New Roman" w:eastAsia="Times New Roman" w:cs="Times New Roman"/>
          <w:b/>
          <w:bCs/>
          <w:i w:val="0"/>
          <w:iCs w:val="0"/>
          <w:smallCaps w:val="0"/>
          <w:strike w:val="0"/>
          <w:color w:val="000000"/>
          <w:sz w:val="28"/>
          <w:szCs w:val="28"/>
          <w:u w:val="none"/>
          <w:shd w:val="clear" w:fill="auto"/>
          <w:vertAlign w:val="baseline"/>
        </w:rPr>
      </w:pPr>
      <w:r>
        <w:rPr>
          <w:rFonts w:ascii="Times New Roman" w:hAnsi="Times New Roman" w:eastAsia="Times New Roman" w:cs="Times New Roman"/>
          <w:b/>
          <w:bCs/>
          <w:i w:val="0"/>
          <w:iCs w:val="0"/>
          <w:smallCaps w:val="0"/>
          <w:strike w:val="0"/>
          <w:color w:val="000000"/>
          <w:sz w:val="28"/>
          <w:szCs w:val="28"/>
          <w:u w:val="none"/>
          <w:shd w:val="clear" w:fill="auto"/>
          <w:vertAlign w:val="baseline"/>
          <w:rtl w:val="0"/>
        </w:rPr>
        <w:t xml:space="preserve">Интегрированный подход к обучению чтению художественной литературы на иностранном языке  </w:t>
      </w:r>
    </w:p>
    <w:p w14:paraId="32EF431B">
      <w:pPr>
        <w:spacing w:after="0" w:line="240" w:lineRule="auto"/>
        <w:jc w:val="right"/>
        <w:rPr>
          <w:rFonts w:ascii="Times New Roman" w:hAnsi="Times New Roman" w:eastAsia="Times New Roman" w:cs="Times New Roman"/>
          <w:b/>
          <w:bCs/>
          <w:sz w:val="28"/>
          <w:szCs w:val="28"/>
          <w:rtl w:val="0"/>
        </w:rPr>
      </w:pPr>
    </w:p>
    <w:p w14:paraId="17322D7F">
      <w:pPr>
        <w:spacing w:after="0" w:line="240" w:lineRule="auto"/>
        <w:jc w:val="right"/>
        <w:rPr>
          <w:rFonts w:ascii="Times New Roman" w:hAnsi="Times New Roman" w:eastAsia="Times New Roman" w:cs="Times New Roman"/>
          <w:b/>
          <w:bCs/>
          <w:sz w:val="28"/>
          <w:szCs w:val="28"/>
          <w:rtl w:val="0"/>
        </w:rPr>
      </w:pPr>
      <w:bookmarkStart w:id="1" w:name="_GoBack"/>
      <w:bookmarkEnd w:id="1"/>
    </w:p>
    <w:p w14:paraId="00000002">
      <w:pPr>
        <w:spacing w:after="0" w:line="240" w:lineRule="auto"/>
        <w:jc w:val="right"/>
        <w:rPr>
          <w:rFonts w:ascii="Times New Roman" w:hAnsi="Times New Roman" w:eastAsia="Times New Roman" w:cs="Times New Roman"/>
          <w:b/>
          <w:bCs/>
          <w:sz w:val="28"/>
          <w:szCs w:val="28"/>
        </w:rPr>
      </w:pPr>
      <w:r>
        <w:rPr>
          <w:rFonts w:ascii="Times New Roman" w:hAnsi="Times New Roman" w:eastAsia="Times New Roman" w:cs="Times New Roman"/>
          <w:b/>
          <w:bCs/>
          <w:sz w:val="28"/>
          <w:szCs w:val="28"/>
          <w:rtl w:val="0"/>
        </w:rPr>
        <w:t>Ещанова Меруерт</w:t>
      </w:r>
    </w:p>
    <w:p w14:paraId="00000003">
      <w:pPr>
        <w:spacing w:after="0" w:line="240" w:lineRule="auto"/>
        <w:jc w:val="right"/>
        <w:rPr>
          <w:rFonts w:ascii="Times New Roman" w:hAnsi="Times New Roman" w:eastAsia="Times New Roman" w:cs="Times New Roman"/>
          <w:sz w:val="28"/>
          <w:szCs w:val="28"/>
        </w:rPr>
      </w:pPr>
      <w:r>
        <w:rPr>
          <w:rFonts w:ascii="Times New Roman" w:hAnsi="Times New Roman" w:eastAsia="Times New Roman" w:cs="Times New Roman"/>
          <w:sz w:val="28"/>
          <w:szCs w:val="28"/>
          <w:rtl w:val="0"/>
        </w:rPr>
        <w:t>студент 3 курса Yessenov University</w:t>
      </w:r>
    </w:p>
    <w:p w14:paraId="00000004">
      <w:pPr>
        <w:spacing w:after="0" w:line="240" w:lineRule="auto"/>
        <w:jc w:val="right"/>
        <w:rPr>
          <w:rFonts w:ascii="Times New Roman" w:hAnsi="Times New Roman" w:eastAsia="Times New Roman" w:cs="Times New Roman"/>
          <w:sz w:val="28"/>
          <w:szCs w:val="28"/>
        </w:rPr>
      </w:pPr>
      <w:r>
        <w:rPr>
          <w:rFonts w:ascii="Times New Roman" w:hAnsi="Times New Roman" w:eastAsia="Times New Roman" w:cs="Times New Roman"/>
          <w:sz w:val="28"/>
          <w:szCs w:val="28"/>
          <w:rtl w:val="0"/>
        </w:rPr>
        <w:t>кафедры «Мировые языки»</w:t>
      </w:r>
    </w:p>
    <w:p w14:paraId="00000005">
      <w:pPr>
        <w:spacing w:after="0" w:line="240" w:lineRule="auto"/>
        <w:jc w:val="right"/>
        <w:rPr>
          <w:rFonts w:ascii="Times New Roman" w:hAnsi="Times New Roman" w:eastAsia="Times New Roman" w:cs="Times New Roman"/>
          <w:sz w:val="28"/>
          <w:szCs w:val="28"/>
        </w:rPr>
      </w:pPr>
      <w:r>
        <w:rPr>
          <w:rFonts w:ascii="Times New Roman" w:hAnsi="Times New Roman" w:eastAsia="Times New Roman" w:cs="Times New Roman"/>
          <w:sz w:val="28"/>
          <w:szCs w:val="28"/>
          <w:rtl w:val="0"/>
        </w:rPr>
        <w:t>Актау, Казахстан</w:t>
      </w:r>
    </w:p>
    <w:p w14:paraId="00000006">
      <w:pPr>
        <w:spacing w:after="0" w:line="240" w:lineRule="auto"/>
        <w:jc w:val="right"/>
        <w:rPr>
          <w:rFonts w:ascii="Times New Roman" w:hAnsi="Times New Roman" w:eastAsia="Times New Roman" w:cs="Times New Roman"/>
          <w:sz w:val="28"/>
          <w:szCs w:val="28"/>
        </w:rPr>
      </w:pPr>
      <w:r>
        <w:rPr>
          <w:rFonts w:ascii="Times New Roman" w:hAnsi="Times New Roman" w:eastAsia="Times New Roman" w:cs="Times New Roman"/>
          <w:sz w:val="28"/>
          <w:szCs w:val="28"/>
          <w:rtl w:val="0"/>
        </w:rPr>
        <w:t>esjanova.meru.05@gmail.com</w:t>
      </w:r>
    </w:p>
    <w:p w14:paraId="00000007">
      <w:pPr>
        <w:spacing w:after="0" w:line="240" w:lineRule="auto"/>
        <w:jc w:val="right"/>
        <w:rPr>
          <w:rFonts w:ascii="Times New Roman" w:hAnsi="Times New Roman" w:eastAsia="Times New Roman" w:cs="Times New Roman"/>
          <w:b/>
          <w:bCs/>
          <w:sz w:val="28"/>
          <w:szCs w:val="28"/>
        </w:rPr>
      </w:pPr>
      <w:r>
        <w:rPr>
          <w:rFonts w:ascii="Times New Roman" w:hAnsi="Times New Roman" w:eastAsia="Times New Roman" w:cs="Times New Roman"/>
          <w:b/>
          <w:bCs/>
          <w:sz w:val="28"/>
          <w:szCs w:val="28"/>
          <w:rtl w:val="0"/>
        </w:rPr>
        <w:t>Елена Сергеевна Акопова</w:t>
      </w:r>
    </w:p>
    <w:p w14:paraId="00000008">
      <w:pPr>
        <w:spacing w:after="0" w:line="240" w:lineRule="auto"/>
        <w:jc w:val="right"/>
        <w:rPr>
          <w:rFonts w:ascii="Times New Roman" w:hAnsi="Times New Roman" w:eastAsia="Times New Roman" w:cs="Times New Roman"/>
          <w:sz w:val="28"/>
          <w:szCs w:val="28"/>
        </w:rPr>
      </w:pPr>
      <w:r>
        <w:rPr>
          <w:rFonts w:ascii="Times New Roman" w:hAnsi="Times New Roman" w:eastAsia="Times New Roman" w:cs="Times New Roman"/>
          <w:sz w:val="28"/>
          <w:szCs w:val="28"/>
          <w:rtl w:val="0"/>
        </w:rPr>
        <w:t xml:space="preserve">старший преподаватель кафедры </w:t>
      </w:r>
    </w:p>
    <w:p w14:paraId="00000009">
      <w:pPr>
        <w:spacing w:after="0" w:line="240" w:lineRule="auto"/>
        <w:jc w:val="right"/>
        <w:rPr>
          <w:rFonts w:ascii="Times New Roman" w:hAnsi="Times New Roman" w:eastAsia="Times New Roman" w:cs="Times New Roman"/>
          <w:sz w:val="28"/>
          <w:szCs w:val="28"/>
        </w:rPr>
      </w:pPr>
      <w:bookmarkStart w:id="0" w:name="_cfpyyq6sn5ky" w:colFirst="0" w:colLast="0"/>
      <w:bookmarkEnd w:id="0"/>
      <w:r>
        <w:rPr>
          <w:rFonts w:ascii="Times New Roman" w:hAnsi="Times New Roman" w:eastAsia="Times New Roman" w:cs="Times New Roman"/>
          <w:sz w:val="28"/>
          <w:szCs w:val="28"/>
          <w:rtl w:val="0"/>
        </w:rPr>
        <w:t>«Мировые языки» Yessenov University</w:t>
      </w:r>
    </w:p>
    <w:p w14:paraId="0000000A">
      <w:pPr>
        <w:spacing w:after="0" w:line="240" w:lineRule="auto"/>
        <w:jc w:val="right"/>
        <w:rPr>
          <w:rFonts w:ascii="Times New Roman" w:hAnsi="Times New Roman" w:eastAsia="Times New Roman" w:cs="Times New Roman"/>
          <w:sz w:val="28"/>
          <w:szCs w:val="28"/>
        </w:rPr>
      </w:pPr>
      <w:r>
        <w:rPr>
          <w:rFonts w:ascii="Times New Roman" w:hAnsi="Times New Roman" w:eastAsia="Times New Roman" w:cs="Times New Roman"/>
          <w:sz w:val="28"/>
          <w:szCs w:val="28"/>
          <w:rtl w:val="0"/>
        </w:rPr>
        <w:t>Актау, Казахстан</w:t>
      </w:r>
    </w:p>
    <w:p w14:paraId="0000000B">
      <w:pPr>
        <w:spacing w:after="0" w:line="240" w:lineRule="auto"/>
        <w:jc w:val="right"/>
        <w:rPr>
          <w:rFonts w:ascii="Times New Roman" w:hAnsi="Times New Roman" w:eastAsia="Times New Roman" w:cs="Times New Roman"/>
          <w:sz w:val="28"/>
          <w:szCs w:val="28"/>
        </w:rPr>
      </w:pPr>
      <w:r>
        <w:rPr>
          <w:rFonts w:ascii="Times New Roman" w:hAnsi="Times New Roman" w:eastAsia="Times New Roman" w:cs="Times New Roman"/>
          <w:sz w:val="28"/>
          <w:szCs w:val="28"/>
          <w:rtl w:val="0"/>
        </w:rPr>
        <w:t xml:space="preserve">e-mail: </w:t>
      </w:r>
      <w:r>
        <w:fldChar w:fldCharType="begin"/>
      </w:r>
      <w:r>
        <w:instrText xml:space="preserve"> HYPERLINK "about:blank" \h </w:instrText>
      </w:r>
      <w:r>
        <w:fldChar w:fldCharType="separate"/>
      </w:r>
      <w:r>
        <w:rPr>
          <w:rFonts w:ascii="Times New Roman" w:hAnsi="Times New Roman" w:eastAsia="Times New Roman" w:cs="Times New Roman"/>
          <w:sz w:val="28"/>
          <w:szCs w:val="28"/>
          <w:rtl w:val="0"/>
        </w:rPr>
        <w:t>yelena.akopova@yu.edu.kz</w:t>
      </w:r>
      <w:r>
        <w:rPr>
          <w:rFonts w:ascii="Times New Roman" w:hAnsi="Times New Roman" w:eastAsia="Times New Roman" w:cs="Times New Roman"/>
          <w:sz w:val="28"/>
          <w:szCs w:val="28"/>
          <w:rtl w:val="0"/>
        </w:rPr>
        <w:fldChar w:fldCharType="end"/>
      </w:r>
    </w:p>
    <w:p w14:paraId="0000000C">
      <w:pPr>
        <w:spacing w:after="0" w:line="240" w:lineRule="auto"/>
        <w:jc w:val="right"/>
        <w:rPr>
          <w:rFonts w:ascii="Times New Roman" w:hAnsi="Times New Roman" w:eastAsia="Times New Roman" w:cs="Times New Roman"/>
          <w:sz w:val="24"/>
          <w:szCs w:val="24"/>
        </w:rPr>
      </w:pPr>
    </w:p>
    <w:p w14:paraId="0000000D">
      <w:pPr>
        <w:spacing w:after="0" w:line="240" w:lineRule="auto"/>
        <w:jc w:val="right"/>
        <w:rPr>
          <w:rFonts w:ascii="Times New Roman" w:hAnsi="Times New Roman" w:eastAsia="Times New Roman" w:cs="Times New Roman"/>
          <w:sz w:val="24"/>
          <w:szCs w:val="24"/>
        </w:rPr>
      </w:pPr>
    </w:p>
    <w:p w14:paraId="0000000E">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1440"/>
        <w:jc w:val="both"/>
        <w:rPr>
          <w:rFonts w:ascii="Times New Roman" w:hAnsi="Times New Roman" w:eastAsia="Times New Roman" w:cs="Times New Roman"/>
          <w:b w:val="0"/>
          <w:bCs w:val="0"/>
          <w:i w:val="0"/>
          <w:iCs w:val="0"/>
          <w:smallCaps w:val="0"/>
          <w:strike w:val="0"/>
          <w:color w:val="000000"/>
          <w:sz w:val="28"/>
          <w:szCs w:val="28"/>
          <w:u w:val="none"/>
          <w:shd w:val="clear" w:fill="auto"/>
          <w:vertAlign w:val="baseline"/>
        </w:rPr>
      </w:pPr>
      <w:r>
        <w:rPr>
          <w:rFonts w:ascii="Times New Roman" w:hAnsi="Times New Roman" w:eastAsia="Times New Roman" w:cs="Times New Roman"/>
          <w:b w:val="0"/>
          <w:bCs w:val="0"/>
          <w:i/>
          <w:iCs/>
          <w:smallCaps w:val="0"/>
          <w:strike w:val="0"/>
          <w:color w:val="000000"/>
          <w:sz w:val="28"/>
          <w:szCs w:val="28"/>
          <w:u w:val="none"/>
          <w:shd w:val="clear" w:fill="auto"/>
          <w:vertAlign w:val="baseline"/>
          <w:rtl w:val="0"/>
        </w:rPr>
        <w:t>В условиях глобализации и активного межкультурного взаимодействия обучение чтению художественной литературы на иностранном языке приобретает особую значимость. Художественный текст выступает не только как источник языкового материала, но и как средство формирования культурной, коммуникативной и когнитивной компетенции обучающихся. В данной статье рассматривается интегрированный подход к обучению чтению художественных текстов, который предполагает объединение языковых, культурных и аналитических аспектов обучения. Особое внимание уделяется сочетанию различных методов и технологий, направленных на развитие полноценного понимания текста, интерпретации содержания и формирования устойчивой мотивации к чтению.</w:t>
      </w:r>
    </w:p>
    <w:p w14:paraId="0000000F">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1440"/>
        <w:jc w:val="both"/>
        <w:rPr>
          <w:rFonts w:ascii="Times New Roman" w:hAnsi="Times New Roman" w:eastAsia="Times New Roman" w:cs="Times New Roman"/>
          <w:b w:val="0"/>
          <w:bCs w:val="0"/>
          <w:i/>
          <w:iCs/>
          <w:smallCaps w:val="0"/>
          <w:strike w:val="0"/>
          <w:color w:val="000000"/>
          <w:sz w:val="28"/>
          <w:szCs w:val="28"/>
          <w:u w:val="none"/>
          <w:shd w:val="clear" w:fill="auto"/>
          <w:vertAlign w:val="baseline"/>
        </w:rPr>
      </w:pPr>
    </w:p>
    <w:p w14:paraId="00000010">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1440"/>
        <w:jc w:val="both"/>
        <w:rPr>
          <w:rFonts w:ascii="Times New Roman" w:hAnsi="Times New Roman" w:eastAsia="Times New Roman" w:cs="Times New Roman"/>
          <w:b w:val="0"/>
          <w:bCs w:val="0"/>
          <w:i w:val="0"/>
          <w:iCs w:val="0"/>
          <w:smallCaps w:val="0"/>
          <w:strike w:val="0"/>
          <w:color w:val="000000"/>
          <w:sz w:val="28"/>
          <w:szCs w:val="28"/>
          <w:u w:val="none"/>
          <w:shd w:val="clear" w:fill="auto"/>
          <w:vertAlign w:val="baseline"/>
        </w:rPr>
      </w:pPr>
      <w:r>
        <w:rPr>
          <w:rFonts w:ascii="Times New Roman" w:hAnsi="Times New Roman" w:eastAsia="Times New Roman" w:cs="Times New Roman"/>
          <w:b/>
          <w:bCs/>
          <w:i/>
          <w:iCs/>
          <w:smallCaps w:val="0"/>
          <w:strike w:val="0"/>
          <w:color w:val="000000"/>
          <w:sz w:val="28"/>
          <w:szCs w:val="28"/>
          <w:u w:val="none"/>
          <w:shd w:val="clear" w:fill="auto"/>
          <w:vertAlign w:val="baseline"/>
          <w:rtl w:val="0"/>
        </w:rPr>
        <w:t xml:space="preserve">Ключевые слова: </w:t>
      </w:r>
      <w:r>
        <w:rPr>
          <w:rFonts w:ascii="Times New Roman" w:hAnsi="Times New Roman" w:eastAsia="Times New Roman" w:cs="Times New Roman"/>
          <w:b w:val="0"/>
          <w:bCs w:val="0"/>
          <w:i w:val="0"/>
          <w:iCs w:val="0"/>
          <w:smallCaps w:val="0"/>
          <w:strike w:val="0"/>
          <w:color w:val="000000"/>
          <w:sz w:val="28"/>
          <w:szCs w:val="28"/>
          <w:u w:val="none"/>
          <w:shd w:val="clear" w:fill="auto"/>
          <w:vertAlign w:val="baseline"/>
          <w:rtl w:val="0"/>
        </w:rPr>
        <w:t>интегрированный подход, художественная литература, иностранный язык, чтение, коммуникативная компетенция, межкультурная коммуникация, методика обучения</w:t>
      </w:r>
    </w:p>
    <w:p w14:paraId="00000011">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left"/>
        <w:rPr>
          <w:rFonts w:ascii="Times New Roman" w:hAnsi="Times New Roman" w:eastAsia="Times New Roman" w:cs="Times New Roman"/>
          <w:b/>
          <w:bCs/>
          <w:i/>
          <w:iCs/>
          <w:smallCaps w:val="0"/>
          <w:strike w:val="0"/>
          <w:color w:val="000000"/>
          <w:sz w:val="28"/>
          <w:szCs w:val="28"/>
          <w:u w:val="none"/>
          <w:shd w:val="clear" w:fill="auto"/>
          <w:vertAlign w:val="baseline"/>
        </w:rPr>
      </w:pPr>
    </w:p>
    <w:p w14:paraId="00000012">
      <w:pPr>
        <w:widowControl w:val="0"/>
        <w:pBdr>
          <w:top w:val="none" w:color="auto" w:sz="0" w:space="0"/>
          <w:left w:val="none" w:color="auto" w:sz="0" w:space="0"/>
          <w:bottom w:val="none" w:color="auto" w:sz="0" w:space="0"/>
          <w:right w:val="none" w:color="auto" w:sz="0" w:space="0"/>
          <w:between w:val="none" w:color="auto" w:sz="0" w:space="0"/>
        </w:pBdr>
        <w:shd w:val="clear" w:fill="auto"/>
        <w:spacing w:after="0" w:line="240" w:lineRule="auto"/>
        <w:ind w:firstLine="1440"/>
        <w:jc w:val="both"/>
        <w:rPr>
          <w:rFonts w:ascii="Times New Roman" w:hAnsi="Times New Roman" w:eastAsia="Times New Roman" w:cs="Times New Roman"/>
          <w:sz w:val="28"/>
          <w:szCs w:val="28"/>
        </w:rPr>
      </w:pPr>
      <w:r>
        <w:rPr>
          <w:rFonts w:ascii="Times New Roman" w:hAnsi="Times New Roman" w:eastAsia="Times New Roman" w:cs="Times New Roman"/>
          <w:sz w:val="28"/>
          <w:szCs w:val="28"/>
          <w:rtl w:val="0"/>
        </w:rPr>
        <w:t>Интегрированный подход к обучению чтению художественной литературы на иностранном языке основывается на идее комплексного развития навыков учащихся. В отличие от традиционного подхода, где чтение рассматривается преимущественно как средство усвоения лексики и грамматики, интеграция предполагает одновременное развитие языковых, речевых, культурных и аналитических умений. Такой подход соответствует современным требованиям образовательных стандартов и отражает коммуникативную направленность обучения иностранным языкам. Согласно концепции коммуникативного метода, разработанного рядом исследователей, включая М. Канале и М. Суэйн, владение языком невозможно без понимания культурного контекста. Художественная литература в этом случае становится эффективным инструментом, так как она отражает ценности, традиции и особенности мышления носителей языка. Чтение художественных произведений способствует формированию межкультурной компетенции, что особенно важно в условиях глобального мира.</w:t>
      </w:r>
    </w:p>
    <w:p w14:paraId="00000013">
      <w:pPr>
        <w:widowControl w:val="0"/>
        <w:pBdr>
          <w:top w:val="none" w:color="auto" w:sz="0" w:space="0"/>
          <w:left w:val="none" w:color="auto" w:sz="0" w:space="0"/>
          <w:bottom w:val="none" w:color="auto" w:sz="0" w:space="0"/>
          <w:right w:val="none" w:color="auto" w:sz="0" w:space="0"/>
          <w:between w:val="none" w:color="auto" w:sz="0" w:space="0"/>
        </w:pBdr>
        <w:shd w:val="clear" w:fill="auto"/>
        <w:spacing w:after="0" w:line="240" w:lineRule="auto"/>
        <w:ind w:firstLine="1440"/>
        <w:jc w:val="both"/>
        <w:rPr>
          <w:rFonts w:ascii="Times New Roman" w:hAnsi="Times New Roman" w:eastAsia="Times New Roman" w:cs="Times New Roman"/>
          <w:sz w:val="28"/>
          <w:szCs w:val="28"/>
        </w:rPr>
      </w:pPr>
      <w:r>
        <w:rPr>
          <w:rFonts w:ascii="Times New Roman" w:hAnsi="Times New Roman" w:eastAsia="Times New Roman" w:cs="Times New Roman"/>
          <w:sz w:val="28"/>
          <w:szCs w:val="28"/>
          <w:rtl w:val="0"/>
        </w:rPr>
        <w:t>Одним из ключевых принципов интегрированного подхода является аутентичность учебного материала. Как отмечает Дж. Хармер, использование аутентичных текстов повышает мотивацию учащихся и делает процесс обучения более приближенным к реальной коммуникации. Художественные тексты, написанные для носителей языка, позволяют учащимся столкнуться с живым языком, разнообразием стилистических средств и культурных реалий. Однако работа с такими текстами требует особой методической организации. Процесс обучения чтению художественной литературы включает несколько этапов: предтекстовый, текстовый и послетекстовый. На предтекстовом этапе важно активизировать фоновые знания учащихся, познакомить их с контекстом произведения, автором и эпохой. Это может осуществляться через обсуждение, просмотр иллюстраций или коротких видеоматериалов. Такой подход способствует формированию ожиданий и облегчает понимание текста.</w:t>
      </w:r>
    </w:p>
    <w:p w14:paraId="00000014">
      <w:pPr>
        <w:widowControl w:val="0"/>
        <w:pBdr>
          <w:top w:val="none" w:color="auto" w:sz="0" w:space="0"/>
          <w:left w:val="none" w:color="auto" w:sz="0" w:space="0"/>
          <w:bottom w:val="none" w:color="auto" w:sz="0" w:space="0"/>
          <w:right w:val="none" w:color="auto" w:sz="0" w:space="0"/>
          <w:between w:val="none" w:color="auto" w:sz="0" w:space="0"/>
        </w:pBdr>
        <w:shd w:val="clear" w:fill="auto"/>
        <w:spacing w:after="0" w:line="240" w:lineRule="auto"/>
        <w:ind w:firstLine="1440"/>
        <w:jc w:val="both"/>
        <w:rPr>
          <w:rFonts w:ascii="Times New Roman" w:hAnsi="Times New Roman" w:eastAsia="Times New Roman" w:cs="Times New Roman"/>
          <w:sz w:val="28"/>
          <w:szCs w:val="28"/>
        </w:rPr>
      </w:pPr>
      <w:r>
        <w:rPr>
          <w:rFonts w:ascii="Times New Roman" w:hAnsi="Times New Roman" w:eastAsia="Times New Roman" w:cs="Times New Roman"/>
          <w:sz w:val="28"/>
          <w:szCs w:val="28"/>
          <w:rtl w:val="0"/>
        </w:rPr>
        <w:t>Дополнительно на предтекстовом этапе эффективно использовать прогнозирование содержания. Учащиеся могут предположить развитие сюжета, опираясь на заголовок, иллюстрации или ключевые слова. Это активизирует их мыслительную деятельность и делает процесс чтения более осознанным. Также полезно вводить ключевую лексику заранее, но не в избыточном объеме, чтобы сохранить элемент самостоятельного открытия значений слов в контексте. На текстовом этапе основное внимание уделяется пониманию содержания. Здесь используются различные стратегии чтения: просмотровое, ознакомительное и изучающее. Как подчеркивает И.Л. Бим, важно обучать учащихся различным видам чтения, так как это развивает гибкость восприятия текста. В рамках интегрированного подхода учащиеся не только извлекают информацию, но и анализируют стиль, характеры персонажей и авторскую позицию. Расширяя данный этап, следует отметить значимость работы с языковыми средствами художественного текста. Учащиеся могут выделять метафоры, эпитеты, сравнения и другие выразительные средства, что способствует более глубокому пониманию авторского замысла. Кроме того, анализ диалогов помогает освоить разговорные модели речи, что особенно полезно для развития коммуникативных навыков. Послетекстовый этап направлен на развитие продуктивных навыков. Учащиеся могут обсуждать прочитанное, выражать собственное мнение, участвовать в дискуссиях или выполнять творческие задания. Например, написание альтернативного окончания или характеристика героя способствует развитию письменной речи и критического мышления. Таким образом, чтение становится не изолированным навыком, а частью комплексной языковой деятельности.</w:t>
      </w:r>
    </w:p>
    <w:p w14:paraId="00000015">
      <w:pPr>
        <w:widowControl w:val="0"/>
        <w:pBdr>
          <w:top w:val="none" w:color="auto" w:sz="0" w:space="0"/>
          <w:left w:val="none" w:color="auto" w:sz="0" w:space="0"/>
          <w:bottom w:val="none" w:color="auto" w:sz="0" w:space="0"/>
          <w:right w:val="none" w:color="auto" w:sz="0" w:space="0"/>
          <w:between w:val="none" w:color="auto" w:sz="0" w:space="0"/>
        </w:pBdr>
        <w:shd w:val="clear" w:fill="auto"/>
        <w:spacing w:after="0" w:line="240" w:lineRule="auto"/>
        <w:ind w:firstLine="1440"/>
        <w:jc w:val="both"/>
        <w:rPr>
          <w:rFonts w:ascii="Times New Roman" w:hAnsi="Times New Roman" w:eastAsia="Times New Roman" w:cs="Times New Roman"/>
          <w:sz w:val="28"/>
          <w:szCs w:val="28"/>
        </w:rPr>
      </w:pPr>
      <w:r>
        <w:rPr>
          <w:rFonts w:ascii="Times New Roman" w:hAnsi="Times New Roman" w:eastAsia="Times New Roman" w:cs="Times New Roman"/>
          <w:sz w:val="28"/>
          <w:szCs w:val="28"/>
          <w:rtl w:val="0"/>
        </w:rPr>
        <w:t>На данном этапе также эффективно использовать проектную деятельность. Учащиеся могут готовить презентации о произведении, инсценировать отрывки или создавать визуальные интерпретации текста. Это усиливает мотивацию и способствует более глубокому усвоению материала. Работа в группах развивает навыки сотрудничества и позволяет учитывать разные точки зрения. Особую роль в интегрированном подходе играет использование современных технологий. Электронные книги, онлайн-платформы и мультимедийные ресурсы позволяют разнообразить процесс обучения и сделать его более интерактивным. Как отмечает Н.Д. Гальскова, внедрение информационных технологий способствует индивидуализации обучения и повышению его эффективности. Например, учащиеся могут использовать онлайн-словари, слушать аудиоверсии текстов или участвовать в виртуальных обсуждениях.</w:t>
      </w:r>
    </w:p>
    <w:p w14:paraId="00000016">
      <w:pPr>
        <w:widowControl w:val="0"/>
        <w:pBdr>
          <w:top w:val="none" w:color="auto" w:sz="0" w:space="0"/>
          <w:left w:val="none" w:color="auto" w:sz="0" w:space="0"/>
          <w:bottom w:val="none" w:color="auto" w:sz="0" w:space="0"/>
          <w:right w:val="none" w:color="auto" w:sz="0" w:space="0"/>
          <w:between w:val="none" w:color="auto" w:sz="0" w:space="0"/>
        </w:pBdr>
        <w:shd w:val="clear" w:fill="auto"/>
        <w:spacing w:after="0" w:line="240" w:lineRule="auto"/>
        <w:ind w:firstLine="1440"/>
        <w:jc w:val="both"/>
        <w:rPr>
          <w:rFonts w:ascii="Times New Roman" w:hAnsi="Times New Roman" w:eastAsia="Times New Roman" w:cs="Times New Roman"/>
          <w:sz w:val="28"/>
          <w:szCs w:val="28"/>
        </w:rPr>
      </w:pPr>
      <w:r>
        <w:rPr>
          <w:rFonts w:ascii="Times New Roman" w:hAnsi="Times New Roman" w:eastAsia="Times New Roman" w:cs="Times New Roman"/>
          <w:sz w:val="28"/>
          <w:szCs w:val="28"/>
          <w:rtl w:val="0"/>
        </w:rPr>
        <w:t>Кроме того, цифровые инструменты позволяют отслеживать прогресс учащихся. Тесты, интерактивные задания и обучающие платформы дают возможность оперативной обратной связи, что важно для корректировки процесса обучения. Это делает обучение более гибким и адаптированным к потребностям каждого учащегося. Не менее важным аспектом является учет уровня языковой подготовки учащихся. Художественные тексты должны подбираться с учетом их сложности, чтобы не вызывать чрезмерных трудностей. В то же время они должны сохранять свою аутентичность и художественную ценность. Адаптированные тексты могут использоваться на начальных этапах обучения, однако по мере развития навыков следует переходить к оригинальным произведениям. Интегрированный подход также предполагает межпредметные связи. Чтение художественной литературы может быть связано с историей, культурологией, психологией и другими дисциплинами. Это расширяет кругозор учащихся и делает обучение более осмысленным. Например, изучение произведений английской литературы может сопровождаться обсуждением исторических событий или социальных проблем, отраженных в тексте.</w:t>
      </w:r>
    </w:p>
    <w:p w14:paraId="00000017">
      <w:pPr>
        <w:widowControl w:val="0"/>
        <w:pBdr>
          <w:top w:val="none" w:color="auto" w:sz="0" w:space="0"/>
          <w:left w:val="none" w:color="auto" w:sz="0" w:space="0"/>
          <w:bottom w:val="none" w:color="auto" w:sz="0" w:space="0"/>
          <w:right w:val="none" w:color="auto" w:sz="0" w:space="0"/>
          <w:between w:val="none" w:color="auto" w:sz="0" w:space="0"/>
        </w:pBdr>
        <w:shd w:val="clear" w:fill="auto"/>
        <w:spacing w:after="0" w:line="240" w:lineRule="auto"/>
        <w:ind w:firstLine="1440"/>
        <w:jc w:val="both"/>
        <w:rPr>
          <w:rFonts w:ascii="Times New Roman" w:hAnsi="Times New Roman" w:eastAsia="Times New Roman" w:cs="Times New Roman"/>
          <w:sz w:val="28"/>
          <w:szCs w:val="28"/>
        </w:rPr>
      </w:pPr>
      <w:r>
        <w:rPr>
          <w:rFonts w:ascii="Times New Roman" w:hAnsi="Times New Roman" w:eastAsia="Times New Roman" w:cs="Times New Roman"/>
          <w:sz w:val="28"/>
          <w:szCs w:val="28"/>
          <w:rtl w:val="0"/>
        </w:rPr>
        <w:t>Дополнительно стоит отметить, что межпредметная интеграция способствует формированию целостной картины мира. Учащиеся начинают воспринимать язык не как изолированную систему, а как средство познания окружающей действительности. Это усиливает практическую значимость обучения и повышает его результативность. Важным элементом является развитие критического мышления. Художественный текст предоставляет широкие возможности для интерпретации, анализа и оценки. Учащиеся учатся не только понимать текст, но и высказывать собственное мнение, аргументировать свою позицию и сравнивать различные точки зрения. Это соответствует современным образовательным целям, направленным на формирование самостоятельной и активной личности.</w:t>
      </w:r>
    </w:p>
    <w:p w14:paraId="00000018">
      <w:pPr>
        <w:widowControl w:val="0"/>
        <w:pBdr>
          <w:top w:val="none" w:color="auto" w:sz="0" w:space="0"/>
          <w:left w:val="none" w:color="auto" w:sz="0" w:space="0"/>
          <w:bottom w:val="none" w:color="auto" w:sz="0" w:space="0"/>
          <w:right w:val="none" w:color="auto" w:sz="0" w:space="0"/>
          <w:between w:val="none" w:color="auto" w:sz="0" w:space="0"/>
        </w:pBdr>
        <w:shd w:val="clear" w:fill="auto"/>
        <w:spacing w:after="0" w:line="240" w:lineRule="auto"/>
        <w:ind w:firstLine="1440"/>
        <w:jc w:val="both"/>
        <w:rPr>
          <w:rFonts w:ascii="Times New Roman" w:hAnsi="Times New Roman" w:eastAsia="Times New Roman" w:cs="Times New Roman"/>
          <w:sz w:val="28"/>
          <w:szCs w:val="28"/>
        </w:rPr>
      </w:pPr>
      <w:r>
        <w:rPr>
          <w:rFonts w:ascii="Times New Roman" w:hAnsi="Times New Roman" w:eastAsia="Times New Roman" w:cs="Times New Roman"/>
          <w:sz w:val="28"/>
          <w:szCs w:val="28"/>
          <w:rtl w:val="0"/>
        </w:rPr>
        <w:t xml:space="preserve">Кроме того, интегрированный подход способствует развитию эмоционального интеллекта. Чтение художественной литературы позволяет учащимся сопереживать героям, понимать их чувства и мотивы. Это формирует эмпатию и способствует личностному развитию. Как отмечает Л.С. Выготский, обучение должно опираться не только на интеллект, но и на эмоциональную сферу личности. Практическая реализация интегрированного подхода требует высокой квалификации преподавателя. Учитель должен уметь подбирать тексты, разрабатывать задания и организовывать учебную деятельность таким образом, чтобы обеспечить активное участие учащихся. Важно также учитывать индивидуальные особенности обучающихся и создавать благоприятную атмосферу на занятиях. </w:t>
      </w:r>
    </w:p>
    <w:p w14:paraId="00000019">
      <w:pPr>
        <w:widowControl w:val="0"/>
        <w:pBdr>
          <w:top w:val="none" w:color="auto" w:sz="0" w:space="0"/>
          <w:left w:val="none" w:color="auto" w:sz="0" w:space="0"/>
          <w:bottom w:val="none" w:color="auto" w:sz="0" w:space="0"/>
          <w:right w:val="none" w:color="auto" w:sz="0" w:space="0"/>
          <w:between w:val="none" w:color="auto" w:sz="0" w:space="0"/>
        </w:pBdr>
        <w:shd w:val="clear" w:fill="auto"/>
        <w:spacing w:after="0" w:line="240" w:lineRule="auto"/>
        <w:ind w:firstLine="1440"/>
        <w:jc w:val="both"/>
        <w:rPr>
          <w:rFonts w:ascii="Times New Roman" w:hAnsi="Times New Roman" w:eastAsia="Times New Roman" w:cs="Times New Roman"/>
          <w:sz w:val="28"/>
          <w:szCs w:val="28"/>
        </w:rPr>
      </w:pPr>
      <w:r>
        <w:rPr>
          <w:rFonts w:ascii="Times New Roman" w:hAnsi="Times New Roman" w:eastAsia="Times New Roman" w:cs="Times New Roman"/>
          <w:sz w:val="28"/>
          <w:szCs w:val="28"/>
          <w:rtl w:val="0"/>
        </w:rPr>
        <w:t>Таким образом, интегрированный подход к обучению чтению художественной литературы на иностранном языке представляет собой эффективную методическую стратегию, направленную на всестороннее развитие учащихся. Он объединяет языковое обучение с культурным и личностным развитием, способствует формированию коммуникативной и межкультурной компетенции, а также повышает мотивацию к изучению языка. В условиях современного образования такой подход является не только актуальным, но и необходимым.</w:t>
      </w:r>
    </w:p>
    <w:p w14:paraId="0000001A">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ascii="Times New Roman" w:hAnsi="Times New Roman" w:eastAsia="Times New Roman" w:cs="Times New Roman"/>
          <w:b w:val="0"/>
          <w:bCs w:val="0"/>
          <w:i w:val="0"/>
          <w:iCs w:val="0"/>
          <w:smallCaps w:val="0"/>
          <w:strike w:val="0"/>
          <w:color w:val="000000"/>
          <w:sz w:val="28"/>
          <w:szCs w:val="28"/>
          <w:highlight w:val="white"/>
          <w:u w:val="none"/>
          <w:vertAlign w:val="baseline"/>
        </w:rPr>
      </w:pPr>
    </w:p>
    <w:p w14:paraId="0000001B">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ascii="Times New Roman" w:hAnsi="Times New Roman" w:eastAsia="Times New Roman" w:cs="Times New Roman"/>
          <w:b w:val="0"/>
          <w:bCs w:val="0"/>
          <w:i w:val="0"/>
          <w:iCs w:val="0"/>
          <w:smallCaps w:val="0"/>
          <w:strike w:val="0"/>
          <w:color w:val="000000"/>
          <w:sz w:val="28"/>
          <w:szCs w:val="28"/>
          <w:highlight w:val="white"/>
          <w:u w:val="none"/>
          <w:vertAlign w:val="baseline"/>
        </w:rPr>
      </w:pPr>
    </w:p>
    <w:p w14:paraId="0000001C">
      <w:pPr>
        <w:jc w:val="center"/>
        <w:rPr>
          <w:rFonts w:ascii="Times New Roman" w:hAnsi="Times New Roman" w:eastAsia="Times New Roman" w:cs="Times New Roman"/>
          <w:b/>
          <w:bCs/>
          <w:sz w:val="28"/>
          <w:szCs w:val="28"/>
        </w:rPr>
      </w:pPr>
      <w:r>
        <w:rPr>
          <w:rFonts w:ascii="Times New Roman" w:hAnsi="Times New Roman" w:eastAsia="Times New Roman" w:cs="Times New Roman"/>
          <w:b/>
          <w:bCs/>
          <w:sz w:val="28"/>
          <w:szCs w:val="28"/>
          <w:rtl w:val="0"/>
        </w:rPr>
        <w:t>Список использованной литературы</w:t>
      </w:r>
    </w:p>
    <w:p w14:paraId="0000001D">
      <w:pPr>
        <w:widowControl w:val="0"/>
        <w:numPr>
          <w:ilvl w:val="0"/>
          <w:numId w:val="1"/>
        </w:numPr>
        <w:pBdr>
          <w:top w:val="none" w:color="auto" w:sz="0" w:space="0"/>
          <w:left w:val="none" w:color="auto" w:sz="0" w:space="0"/>
          <w:bottom w:val="none" w:color="auto" w:sz="0" w:space="0"/>
          <w:right w:val="none" w:color="auto" w:sz="0" w:space="0"/>
          <w:between w:val="none" w:color="auto" w:sz="0" w:space="0"/>
        </w:pBdr>
        <w:shd w:val="clear" w:fill="auto"/>
        <w:spacing w:after="0" w:line="240" w:lineRule="auto"/>
        <w:ind w:left="360" w:hanging="360"/>
        <w:jc w:val="both"/>
        <w:rPr>
          <w:rFonts w:ascii="Times New Roman" w:hAnsi="Times New Roman" w:eastAsia="Times New Roman" w:cs="Times New Roman"/>
          <w:sz w:val="28"/>
          <w:szCs w:val="28"/>
        </w:rPr>
      </w:pPr>
      <w:r>
        <w:rPr>
          <w:rFonts w:ascii="Times New Roman" w:hAnsi="Times New Roman" w:eastAsia="Times New Roman" w:cs="Times New Roman"/>
          <w:sz w:val="28"/>
          <w:szCs w:val="28"/>
          <w:rtl w:val="0"/>
        </w:rPr>
        <w:t>Бим И.Л. Теория и практика обучения иностранным языкам. Москва: Просвещение, 2001. - 256 с.</w:t>
      </w:r>
    </w:p>
    <w:p w14:paraId="0000001E">
      <w:pPr>
        <w:widowControl w:val="0"/>
        <w:numPr>
          <w:ilvl w:val="0"/>
          <w:numId w:val="1"/>
        </w:numPr>
        <w:pBdr>
          <w:top w:val="none" w:color="auto" w:sz="0" w:space="0"/>
          <w:left w:val="none" w:color="auto" w:sz="0" w:space="0"/>
          <w:bottom w:val="none" w:color="auto" w:sz="0" w:space="0"/>
          <w:right w:val="none" w:color="auto" w:sz="0" w:space="0"/>
          <w:between w:val="none" w:color="auto" w:sz="0" w:space="0"/>
        </w:pBdr>
        <w:shd w:val="clear" w:fill="auto"/>
        <w:spacing w:after="0" w:line="240" w:lineRule="auto"/>
        <w:ind w:left="360" w:hanging="360"/>
        <w:jc w:val="both"/>
        <w:rPr>
          <w:rFonts w:ascii="Times New Roman" w:hAnsi="Times New Roman" w:eastAsia="Times New Roman" w:cs="Times New Roman"/>
          <w:sz w:val="28"/>
          <w:szCs w:val="28"/>
        </w:rPr>
      </w:pPr>
      <w:r>
        <w:rPr>
          <w:rFonts w:ascii="Times New Roman" w:hAnsi="Times New Roman" w:eastAsia="Times New Roman" w:cs="Times New Roman"/>
          <w:sz w:val="28"/>
          <w:szCs w:val="28"/>
          <w:rtl w:val="0"/>
        </w:rPr>
        <w:t>Гальскова Н.Д. Современная методика обучения иностранным языкам. Москва: Аркти, 2004. - 192 с.</w:t>
      </w:r>
    </w:p>
    <w:p w14:paraId="0000001F">
      <w:pPr>
        <w:widowControl w:val="0"/>
        <w:numPr>
          <w:ilvl w:val="0"/>
          <w:numId w:val="1"/>
        </w:numPr>
        <w:pBdr>
          <w:top w:val="none" w:color="auto" w:sz="0" w:space="0"/>
          <w:left w:val="none" w:color="auto" w:sz="0" w:space="0"/>
          <w:bottom w:val="none" w:color="auto" w:sz="0" w:space="0"/>
          <w:right w:val="none" w:color="auto" w:sz="0" w:space="0"/>
          <w:between w:val="none" w:color="auto" w:sz="0" w:space="0"/>
        </w:pBdr>
        <w:shd w:val="clear" w:fill="auto"/>
        <w:spacing w:after="0" w:line="240" w:lineRule="auto"/>
        <w:ind w:left="360" w:hanging="360"/>
        <w:jc w:val="both"/>
        <w:rPr>
          <w:rFonts w:ascii="Times New Roman" w:hAnsi="Times New Roman" w:eastAsia="Times New Roman" w:cs="Times New Roman"/>
          <w:sz w:val="28"/>
          <w:szCs w:val="28"/>
        </w:rPr>
      </w:pPr>
      <w:r>
        <w:rPr>
          <w:rFonts w:ascii="Times New Roman" w:hAnsi="Times New Roman" w:eastAsia="Times New Roman" w:cs="Times New Roman"/>
          <w:sz w:val="28"/>
          <w:szCs w:val="28"/>
          <w:rtl w:val="0"/>
        </w:rPr>
        <w:t>Выготский Л.С. Мышление и речь. Москва: Лабиринт, 1999. - 352 с.</w:t>
      </w:r>
    </w:p>
    <w:p w14:paraId="00000020">
      <w:pPr>
        <w:widowControl w:val="0"/>
        <w:numPr>
          <w:ilvl w:val="0"/>
          <w:numId w:val="1"/>
        </w:numPr>
        <w:pBdr>
          <w:top w:val="none" w:color="auto" w:sz="0" w:space="0"/>
          <w:left w:val="none" w:color="auto" w:sz="0" w:space="0"/>
          <w:bottom w:val="none" w:color="auto" w:sz="0" w:space="0"/>
          <w:right w:val="none" w:color="auto" w:sz="0" w:space="0"/>
          <w:between w:val="none" w:color="auto" w:sz="0" w:space="0"/>
        </w:pBdr>
        <w:shd w:val="clear" w:fill="auto"/>
        <w:spacing w:after="0" w:line="240" w:lineRule="auto"/>
        <w:ind w:left="360" w:hanging="360"/>
        <w:jc w:val="both"/>
        <w:rPr>
          <w:rFonts w:ascii="Times New Roman" w:hAnsi="Times New Roman" w:eastAsia="Times New Roman" w:cs="Times New Roman"/>
          <w:sz w:val="28"/>
          <w:szCs w:val="28"/>
        </w:rPr>
      </w:pPr>
      <w:r>
        <w:rPr>
          <w:rFonts w:ascii="Times New Roman" w:hAnsi="Times New Roman" w:eastAsia="Times New Roman" w:cs="Times New Roman"/>
          <w:sz w:val="28"/>
          <w:szCs w:val="28"/>
          <w:rtl w:val="0"/>
        </w:rPr>
        <w:t>Harmer J. How to Teach English. Harlow: Longman, 2007. - 288 p.</w:t>
      </w:r>
    </w:p>
    <w:p w14:paraId="00000021">
      <w:pPr>
        <w:widowControl w:val="0"/>
        <w:numPr>
          <w:ilvl w:val="0"/>
          <w:numId w:val="1"/>
        </w:numPr>
        <w:pBdr>
          <w:top w:val="none" w:color="auto" w:sz="0" w:space="0"/>
          <w:left w:val="none" w:color="auto" w:sz="0" w:space="0"/>
          <w:bottom w:val="none" w:color="auto" w:sz="0" w:space="0"/>
          <w:right w:val="none" w:color="auto" w:sz="0" w:space="0"/>
          <w:between w:val="none" w:color="auto" w:sz="0" w:space="0"/>
        </w:pBdr>
        <w:shd w:val="clear" w:fill="auto"/>
        <w:spacing w:after="0" w:line="240" w:lineRule="auto"/>
        <w:ind w:left="360" w:hanging="360"/>
        <w:jc w:val="both"/>
        <w:rPr>
          <w:rFonts w:ascii="Times New Roman" w:hAnsi="Times New Roman" w:eastAsia="Times New Roman" w:cs="Times New Roman"/>
          <w:sz w:val="28"/>
          <w:szCs w:val="28"/>
        </w:rPr>
      </w:pPr>
      <w:r>
        <w:rPr>
          <w:rFonts w:ascii="Times New Roman" w:hAnsi="Times New Roman" w:eastAsia="Times New Roman" w:cs="Times New Roman"/>
          <w:sz w:val="28"/>
          <w:szCs w:val="28"/>
          <w:rtl w:val="0"/>
        </w:rPr>
        <w:t>Canale M., Swain M. Theoretical Bases of Communicative Approaches to Second Language Teaching and Testing // Applied Linguistics. - 1980. - Vol. 1, No. 1. - P. 1-47.</w:t>
      </w:r>
    </w:p>
    <w:p w14:paraId="00000022">
      <w:pPr>
        <w:widowControl w:val="0"/>
        <w:numPr>
          <w:ilvl w:val="0"/>
          <w:numId w:val="1"/>
        </w:numPr>
        <w:pBdr>
          <w:top w:val="none" w:color="auto" w:sz="0" w:space="0"/>
          <w:left w:val="none" w:color="auto" w:sz="0" w:space="0"/>
          <w:bottom w:val="none" w:color="auto" w:sz="0" w:space="0"/>
          <w:right w:val="none" w:color="auto" w:sz="0" w:space="0"/>
          <w:between w:val="none" w:color="auto" w:sz="0" w:space="0"/>
        </w:pBdr>
        <w:shd w:val="clear" w:fill="auto"/>
        <w:spacing w:after="0" w:line="240" w:lineRule="auto"/>
        <w:ind w:left="360" w:hanging="360"/>
        <w:jc w:val="both"/>
        <w:rPr>
          <w:rFonts w:ascii="Times New Roman" w:hAnsi="Times New Roman" w:eastAsia="Times New Roman" w:cs="Times New Roman"/>
          <w:sz w:val="28"/>
          <w:szCs w:val="28"/>
        </w:rPr>
      </w:pPr>
      <w:r>
        <w:rPr>
          <w:rFonts w:ascii="Times New Roman" w:hAnsi="Times New Roman" w:eastAsia="Times New Roman" w:cs="Times New Roman"/>
          <w:sz w:val="28"/>
          <w:szCs w:val="28"/>
          <w:rtl w:val="0"/>
        </w:rPr>
        <w:t>Krashen S. Principles and Practice in Second Language Acquisition. Oxford: Pergamon, 1982. - 202 p.</w:t>
      </w:r>
    </w:p>
    <w:p w14:paraId="00000023">
      <w:pPr>
        <w:widowControl w:val="0"/>
        <w:numPr>
          <w:ilvl w:val="0"/>
          <w:numId w:val="1"/>
        </w:numPr>
        <w:pBdr>
          <w:top w:val="none" w:color="auto" w:sz="0" w:space="0"/>
          <w:left w:val="none" w:color="auto" w:sz="0" w:space="0"/>
          <w:bottom w:val="none" w:color="auto" w:sz="0" w:space="0"/>
          <w:right w:val="none" w:color="auto" w:sz="0" w:space="0"/>
          <w:between w:val="none" w:color="auto" w:sz="0" w:space="0"/>
        </w:pBdr>
        <w:shd w:val="clear" w:fill="auto"/>
        <w:spacing w:after="0" w:line="240" w:lineRule="auto"/>
        <w:ind w:left="360" w:hanging="360"/>
        <w:jc w:val="both"/>
        <w:rPr>
          <w:rFonts w:ascii="Times New Roman" w:hAnsi="Times New Roman" w:eastAsia="Times New Roman" w:cs="Times New Roman"/>
          <w:sz w:val="28"/>
          <w:szCs w:val="28"/>
        </w:rPr>
      </w:pPr>
      <w:r>
        <w:rPr>
          <w:rFonts w:ascii="Times New Roman" w:hAnsi="Times New Roman" w:eastAsia="Times New Roman" w:cs="Times New Roman"/>
          <w:sz w:val="28"/>
          <w:szCs w:val="28"/>
          <w:rtl w:val="0"/>
        </w:rPr>
        <w:t>Nuttall C. Teaching Reading Skills in a Foreign Language. Oxford: Heinemann, 2005. - 282 p.</w:t>
      </w:r>
    </w:p>
    <w:p w14:paraId="00000024">
      <w:pPr>
        <w:widowControl w:val="0"/>
        <w:pBdr>
          <w:top w:val="none" w:color="auto" w:sz="0" w:space="0"/>
          <w:left w:val="none" w:color="auto" w:sz="0" w:space="0"/>
          <w:bottom w:val="none" w:color="auto" w:sz="0" w:space="0"/>
          <w:right w:val="none" w:color="auto" w:sz="0" w:space="0"/>
          <w:between w:val="none" w:color="auto" w:sz="0" w:space="0"/>
        </w:pBdr>
        <w:shd w:val="clear" w:fill="auto"/>
        <w:spacing w:after="0" w:line="240" w:lineRule="auto"/>
        <w:ind w:left="360" w:firstLine="0"/>
        <w:jc w:val="both"/>
        <w:rPr>
          <w:rFonts w:ascii="Times New Roman" w:hAnsi="Times New Roman" w:eastAsia="Times New Roman" w:cs="Times New Roman"/>
          <w:sz w:val="28"/>
          <w:szCs w:val="28"/>
        </w:rPr>
      </w:pPr>
    </w:p>
    <w:p w14:paraId="00000025">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ascii="Times New Roman" w:hAnsi="Times New Roman" w:eastAsia="Times New Roman" w:cs="Times New Roman"/>
          <w:b w:val="0"/>
          <w:bCs w:val="0"/>
          <w:i w:val="0"/>
          <w:iCs w:val="0"/>
          <w:smallCaps w:val="0"/>
          <w:strike w:val="0"/>
          <w:color w:val="000000"/>
          <w:sz w:val="28"/>
          <w:szCs w:val="28"/>
          <w:u w:val="none"/>
          <w:shd w:val="clear" w:fill="auto"/>
          <w:vertAlign w:val="baseline"/>
        </w:rPr>
      </w:pPr>
    </w:p>
    <w:p w14:paraId="00000026">
      <w:pPr>
        <w:jc w:val="both"/>
        <w:rPr>
          <w:rFonts w:ascii="Times New Roman" w:hAnsi="Times New Roman" w:eastAsia="Times New Roman" w:cs="Times New Roman"/>
          <w:sz w:val="28"/>
          <w:szCs w:val="28"/>
        </w:rPr>
      </w:pPr>
    </w:p>
    <w:sectPr>
      <w:pgSz w:w="11906" w:h="16838"/>
      <w:pgMar w:top="993" w:right="850" w:bottom="993" w:left="1134" w:header="0" w:footer="0" w:gutter="0"/>
      <w:pgNumType w:start="1"/>
      <w:cols w:space="720" w:num="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altName w:val="SimSun"/>
    <w:panose1 w:val="02010600030101010101"/>
    <w:charset w:val="86"/>
    <w:family w:val="auto"/>
    <w:pitch w:val="variable"/>
    <w:sig w:usb0="00000003" w:usb1="080E0000" w:usb2="00000010" w:usb3="00000000" w:csb0="00040001" w:csb1="00000000"/>
  </w:font>
  <w:font w:name="SimSun">
    <w:panose1 w:val="02010600030101010101"/>
    <w:charset w:val="86"/>
    <w:family w:val="auto"/>
    <w:pitch w:val="default"/>
    <w:sig w:usb0="00000003" w:usb1="288F0000" w:usb2="00000006" w:usb3="00000000" w:csb0="00040001" w:csb1="00000000"/>
  </w:font>
  <w:font w:name="Arial">
    <w:panose1 w:val="020B0604020202020204"/>
    <w:charset w:val="00"/>
    <w:family w:val="swiss"/>
    <w:pitch w:val="default"/>
    <w:sig w:usb0="E0002AFF" w:usb1="C0007843" w:usb2="00000009" w:usb3="00000000" w:csb0="400001FF" w:csb1="FFFF0000"/>
    <w:embedRegular r:id="rId1" w:fontKey="{B6284D54-0A3C-4A59-832C-D668E54425DA}"/>
  </w:font>
  <w:font w:name="Courier New">
    <w:panose1 w:val="02070309020205020404"/>
    <w:charset w:val="00"/>
    <w:family w:val="modern"/>
    <w:pitch w:val="default"/>
    <w:sig w:usb0="E0002AFF" w:usb1="C0007843" w:usb2="00000009" w:usb3="00000000" w:csb0="400001FF" w:csb1="FFFF0000"/>
    <w:embedRegular r:id="rId2" w:fontKey="{338FC493-F9B9-4248-A033-FA038C7DC2DC}"/>
  </w:font>
  <w:font w:name="SimHei">
    <w:panose1 w:val="02010609060101010101"/>
    <w:charset w:val="86"/>
    <w:family w:val="modern"/>
    <w:pitch w:val="default"/>
    <w:sig w:usb0="800002BF" w:usb1="38CF7CFA" w:usb2="00000016" w:usb3="00000000" w:csb0="00040001" w:csb1="00000000"/>
  </w:font>
  <w:font w:name="Wingdings">
    <w:panose1 w:val="05000000000000000000"/>
    <w:charset w:val="02"/>
    <w:family w:val="auto"/>
    <w:pitch w:val="default"/>
    <w:sig w:usb0="00000000" w:usb1="00000000" w:usb2="00000000" w:usb3="00000000" w:csb0="80000000" w:csb1="00000000"/>
    <w:embedRegular r:id="rId3" w:fontKey="{0B531286-9EE1-4BDF-AB45-0A96E88A5B59}"/>
  </w:font>
  <w:font w:name="Calibri">
    <w:panose1 w:val="020F0502020204030204"/>
    <w:charset w:val="86"/>
    <w:family w:val="swiss"/>
    <w:pitch w:val="default"/>
    <w:sig w:usb0="E00002FF" w:usb1="4000ACFF" w:usb2="00000001" w:usb3="00000000" w:csb0="2000019F" w:csb1="00000000"/>
    <w:embedRegular r:id="rId4" w:fontKey="{4B5CBF81-B051-4B61-B566-B9E8552F6B41}"/>
  </w:font>
  <w:font w:name="Georgia">
    <w:panose1 w:val="02040502050405020303"/>
    <w:charset w:val="00"/>
    <w:family w:val="auto"/>
    <w:pitch w:val="default"/>
    <w:sig w:usb0="00000287" w:usb1="00000000" w:usb2="00000000" w:usb3="00000000" w:csb0="2000009F" w:csb1="00000000"/>
    <w:embedRegular r:id="rId5" w:fontKey="{66B783A4-F5E3-4334-9C46-F06E578A5981}"/>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276" w:lineRule="auto"/>
      </w:pPr>
      <w:r>
        <w:separator/>
      </w:r>
    </w:p>
  </w:footnote>
  <w:footnote w:type="continuationSeparator" w:id="1">
    <w:p>
      <w:pPr>
        <w:spacing w:before="0" w:after="0" w:line="276"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053208E"/>
    <w:multiLevelType w:val="multilevel"/>
    <w:tmpl w:val="0053208E"/>
    <w:lvl w:ilvl="0" w:tentative="0">
      <w:start w:val="1"/>
      <w:numFmt w:val="decimal"/>
      <w:lvlText w:val="%1."/>
      <w:lvlJc w:val="left"/>
      <w:pPr>
        <w:ind w:left="360" w:hanging="360"/>
      </w:pPr>
    </w:lvl>
    <w:lvl w:ilvl="1" w:tentative="0">
      <w:start w:val="1"/>
      <w:numFmt w:val="bullet"/>
      <w:lvlText w:val=""/>
      <w:lvlJc w:val="left"/>
      <w:pPr>
        <w:ind w:left="0" w:firstLine="0"/>
      </w:pPr>
    </w:lvl>
    <w:lvl w:ilvl="2" w:tentative="0">
      <w:start w:val="1"/>
      <w:numFmt w:val="bullet"/>
      <w:lvlText w:val=""/>
      <w:lvlJc w:val="left"/>
      <w:pPr>
        <w:ind w:left="0" w:firstLine="0"/>
      </w:pPr>
    </w:lvl>
    <w:lvl w:ilvl="3" w:tentative="0">
      <w:start w:val="1"/>
      <w:numFmt w:val="bullet"/>
      <w:lvlText w:val=""/>
      <w:lvlJc w:val="left"/>
      <w:pPr>
        <w:ind w:left="0" w:firstLine="0"/>
      </w:pPr>
    </w:lvl>
    <w:lvl w:ilvl="4" w:tentative="0">
      <w:start w:val="1"/>
      <w:numFmt w:val="bullet"/>
      <w:lvlText w:val=""/>
      <w:lvlJc w:val="left"/>
      <w:pPr>
        <w:ind w:left="0" w:firstLine="0"/>
      </w:pPr>
    </w:lvl>
    <w:lvl w:ilvl="5" w:tentative="0">
      <w:start w:val="1"/>
      <w:numFmt w:val="bullet"/>
      <w:lvlText w:val=""/>
      <w:lvlJc w:val="left"/>
      <w:pPr>
        <w:ind w:left="0" w:firstLine="0"/>
      </w:pPr>
    </w:lvl>
    <w:lvl w:ilvl="6" w:tentative="0">
      <w:start w:val="1"/>
      <w:numFmt w:val="bullet"/>
      <w:lvlText w:val=""/>
      <w:lvlJc w:val="left"/>
      <w:pPr>
        <w:ind w:left="0" w:firstLine="0"/>
      </w:pPr>
    </w:lvl>
    <w:lvl w:ilvl="7" w:tentative="0">
      <w:start w:val="1"/>
      <w:numFmt w:val="bullet"/>
      <w:lvlText w:val=""/>
      <w:lvlJc w:val="left"/>
      <w:pPr>
        <w:ind w:left="0" w:firstLine="0"/>
      </w:pPr>
    </w:lvl>
    <w:lvl w:ilvl="8" w:tentative="0">
      <w:start w:val="1"/>
      <w:numFmt w:val="bullet"/>
      <w:lvlText w:val=""/>
      <w:lvlJc w:val="left"/>
      <w:pPr>
        <w:ind w:left="0" w:firstLine="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TrueTypeFonts/>
  <w:documentProtection w:enforcement="0"/>
  <w:defaultTabStop w:val="720"/>
  <w:footnotePr>
    <w:footnote w:id="0"/>
    <w:footnote w:id="1"/>
  </w:footnotePr>
  <w:endnotePr>
    <w:endnote w:id="0"/>
    <w:endnote w:id="1"/>
  </w:endnotePr>
  <w:compat>
    <w:compatSetting w:name="compatibilityMode" w:uri="http://schemas.microsoft.com/office/word" w:val="15"/>
  </w:compat>
  <w:rsids>
    <w:rsidRoot w:val="00000000"/>
    <w:rsid w:val="570D25F8"/>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Calibri" w:hAnsi="Calibri" w:eastAsia="Calibri" w:cs="Calibri"/>
      </w:rPr>
    </w:rPrDefault>
    <w:pPrDefault/>
  </w:docDefaults>
  <w:latentStyles w:count="260" w:defQFormat="0" w:defUnhideWhenUsed="1" w:defSemiHidden="1" w:defUIPriority="99" w:defLockedState="0">
    <w:lsdException w:qFormat="1" w:unhideWhenUsed="0" w:uiPriority="0" w:semiHidden="0" w:name="Normal"/>
    <w:lsdException w:unhideWhenUsed="0" w:uiPriority="0" w:semiHidden="0" w:name="heading 1"/>
    <w:lsdException w:unhideWhenUsed="0" w:uiPriority="0" w:semiHidden="0" w:name="heading 2"/>
    <w:lsdException w:unhideWhenUsed="0" w:uiPriority="0" w:semiHidden="0" w:name="heading 3"/>
    <w:lsdException w:qFormat="1" w:unhideWhenUsed="0" w:uiPriority="0" w:semiHidden="0" w:name="heading 4"/>
    <w:lsdException w:unhideWhenUsed="0" w:uiPriority="0" w:semiHidden="0" w:name="heading 5"/>
    <w:lsdException w:qFormat="1" w:unhideWhenUsed="0" w:uiPriority="0" w:semiHidden="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atentStyles>
  <w:style w:type="paragraph" w:default="1" w:styleId="1">
    <w:name w:val="Normal"/>
    <w:qFormat/>
    <w:uiPriority w:val="0"/>
    <w:pPr>
      <w:spacing w:after="200" w:line="276" w:lineRule="auto"/>
    </w:pPr>
    <w:rPr>
      <w:rFonts w:ascii="Calibri" w:hAnsi="Calibri" w:eastAsia="Calibri" w:cs="Calibri"/>
      <w:sz w:val="22"/>
      <w:szCs w:val="22"/>
      <w:lang w:val="ru"/>
    </w:rPr>
  </w:style>
  <w:style w:type="paragraph" w:styleId="2">
    <w:name w:val="heading 1"/>
    <w:basedOn w:val="1"/>
    <w:next w:val="1"/>
    <w:uiPriority w:val="0"/>
    <w:pPr>
      <w:keepNext/>
      <w:keepLines/>
      <w:pageBreakBefore w:val="0"/>
      <w:spacing w:before="480" w:after="120"/>
    </w:pPr>
    <w:rPr>
      <w:b/>
      <w:bCs/>
      <w:sz w:val="48"/>
      <w:szCs w:val="48"/>
    </w:rPr>
  </w:style>
  <w:style w:type="paragraph" w:styleId="3">
    <w:name w:val="heading 2"/>
    <w:basedOn w:val="1"/>
    <w:next w:val="1"/>
    <w:uiPriority w:val="0"/>
    <w:pPr>
      <w:keepNext/>
      <w:keepLines/>
      <w:pageBreakBefore w:val="0"/>
      <w:spacing w:before="360" w:after="80"/>
    </w:pPr>
    <w:rPr>
      <w:b/>
      <w:bCs/>
      <w:sz w:val="36"/>
      <w:szCs w:val="36"/>
    </w:rPr>
  </w:style>
  <w:style w:type="paragraph" w:styleId="4">
    <w:name w:val="heading 3"/>
    <w:basedOn w:val="1"/>
    <w:next w:val="1"/>
    <w:uiPriority w:val="0"/>
    <w:pPr>
      <w:keepNext/>
      <w:keepLines/>
      <w:pageBreakBefore w:val="0"/>
      <w:spacing w:before="280" w:after="80"/>
    </w:pPr>
    <w:rPr>
      <w:b/>
      <w:bCs/>
      <w:sz w:val="28"/>
      <w:szCs w:val="28"/>
    </w:rPr>
  </w:style>
  <w:style w:type="paragraph" w:styleId="5">
    <w:name w:val="heading 4"/>
    <w:basedOn w:val="1"/>
    <w:next w:val="1"/>
    <w:qFormat/>
    <w:uiPriority w:val="0"/>
    <w:pPr>
      <w:keepNext/>
      <w:keepLines/>
      <w:pageBreakBefore w:val="0"/>
      <w:spacing w:before="240" w:after="40"/>
    </w:pPr>
    <w:rPr>
      <w:b/>
      <w:bCs/>
      <w:sz w:val="24"/>
      <w:szCs w:val="24"/>
    </w:rPr>
  </w:style>
  <w:style w:type="paragraph" w:styleId="6">
    <w:name w:val="heading 5"/>
    <w:basedOn w:val="1"/>
    <w:next w:val="1"/>
    <w:uiPriority w:val="0"/>
    <w:pPr>
      <w:keepNext/>
      <w:keepLines/>
      <w:pageBreakBefore w:val="0"/>
      <w:spacing w:before="220" w:after="40"/>
    </w:pPr>
    <w:rPr>
      <w:b/>
      <w:bCs/>
      <w:sz w:val="22"/>
      <w:szCs w:val="22"/>
    </w:rPr>
  </w:style>
  <w:style w:type="paragraph" w:styleId="7">
    <w:name w:val="heading 6"/>
    <w:basedOn w:val="1"/>
    <w:next w:val="1"/>
    <w:qFormat/>
    <w:uiPriority w:val="0"/>
    <w:pPr>
      <w:keepNext/>
      <w:keepLines/>
      <w:pageBreakBefore w:val="0"/>
      <w:spacing w:before="200" w:after="40"/>
    </w:pPr>
    <w:rPr>
      <w:b/>
      <w:bCs/>
      <w:sz w:val="20"/>
      <w:szCs w:val="20"/>
    </w:rPr>
  </w:style>
  <w:style w:type="character" w:default="1" w:styleId="8">
    <w:name w:val="Default Paragraph Font"/>
    <w:semiHidden/>
    <w:uiPriority w:val="0"/>
  </w:style>
  <w:style w:type="table" w:default="1" w:styleId="9">
    <w:name w:val="Normal Table"/>
    <w:semiHidden/>
    <w:uiPriority w:val="0"/>
    <w:tblPr>
      <w:tblCellMar>
        <w:top w:w="0" w:type="dxa"/>
        <w:left w:w="108" w:type="dxa"/>
        <w:bottom w:w="0" w:type="dxa"/>
        <w:right w:w="108" w:type="dxa"/>
      </w:tblCellMar>
    </w:tblPr>
  </w:style>
  <w:style w:type="paragraph" w:styleId="10">
    <w:name w:val="Title"/>
    <w:basedOn w:val="1"/>
    <w:next w:val="1"/>
    <w:qFormat/>
    <w:uiPriority w:val="0"/>
    <w:pPr>
      <w:keepNext/>
      <w:keepLines/>
      <w:pageBreakBefore w:val="0"/>
      <w:spacing w:before="480" w:after="120"/>
    </w:pPr>
    <w:rPr>
      <w:b/>
      <w:bCs/>
      <w:sz w:val="72"/>
      <w:szCs w:val="72"/>
    </w:rPr>
  </w:style>
  <w:style w:type="paragraph" w:styleId="11">
    <w:name w:val="Subtitle"/>
    <w:basedOn w:val="1"/>
    <w:next w:val="1"/>
    <w:qFormat/>
    <w:uiPriority w:val="0"/>
    <w:pPr>
      <w:keepNext/>
      <w:keepLines/>
      <w:pageBreakBefore w:val="0"/>
      <w:spacing w:before="360" w:after="80"/>
    </w:pPr>
    <w:rPr>
      <w:rFonts w:ascii="Georgia" w:hAnsi="Georgia" w:eastAsia="Georgia" w:cs="Georgia"/>
      <w:i/>
      <w:iCs/>
      <w:color w:val="666666"/>
      <w:sz w:val="48"/>
      <w:szCs w:val="48"/>
    </w:rPr>
  </w:style>
  <w:style w:type="table" w:customStyle="1" w:styleId="12">
    <w:name w:val="TableNormal"/>
    <w:uiPriority w:val="0"/>
    <w:tblPr>
      <w:tblCellMar>
        <w:top w:w="100" w:type="dxa"/>
        <w:left w:w="100" w:type="dxa"/>
        <w:bottom w:w="100" w:type="dxa"/>
        <w:right w:w="100" w:type="dxa"/>
      </w:tblCellMar>
    </w:tblPr>
  </w:style>
</w:styles>
</file>

<file path=word/_rels/document.xml.rels><?xml version="1.0" encoding="UTF-8" standalone="yes"?>
<Relationships xmlns="http://schemas.openxmlformats.org/package/2006/relationships"><Relationship Id="rId7" Type="http://schemas.openxmlformats.org/officeDocument/2006/relationships/fontTable" Target="fontTable.xml"/><Relationship Id="rId6" Type="http://schemas.openxmlformats.org/officeDocument/2006/relationships/numbering" Target="numbering.xml"/><Relationship Id="rId5" Type="http://schemas.openxmlformats.org/officeDocument/2006/relationships/theme" Target="theme/theme1.xml"/><Relationship Id="rId4" Type="http://schemas.openxmlformats.org/officeDocument/2006/relationships/endnotes" Target="endnotes.xml"/><Relationship Id="rId3" Type="http://schemas.openxmlformats.org/officeDocument/2006/relationships/footnotes" Target="footnotes.xml"/><Relationship Id="rId2" Type="http://schemas.openxmlformats.org/officeDocument/2006/relationships/settings" Target="settings.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theme>
</file>

<file path=docProps/app.xml><?xml version="1.0" encoding="utf-8"?>
<Properties xmlns="http://schemas.openxmlformats.org/officeDocument/2006/extended-properties" xmlns:vt="http://schemas.openxmlformats.org/officeDocument/2006/docPropsVTypes">
  <Pages>4</Pages>
  <TotalTime>1</TotalTime>
  <ScaleCrop>false</ScaleCrop>
  <LinksUpToDate>false</LinksUpToDate>
  <Application>WPS Office_12.2.0.23196_F1E327BC-269C-435d-A152-05C5408002CA</Applicat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2026-04-29T17:35:31Z</dcterms:created>
  <dc:creator>User</dc:creator>
  <cp:lastModifiedBy>User</cp:lastModifiedBy>
  <dcterms:modified xsi:type="dcterms:W3CDTF">2026-04-29T17:37:14Z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1049-12.2.0.23196</vt:lpwstr>
  </property>
  <property fmtid="{D5CDD505-2E9C-101B-9397-08002B2CF9AE}" pid="3" name="ICV">
    <vt:lpwstr>F63D3BFF53B845DD87232A84C895345E_12</vt:lpwstr>
  </property>
</Properties>
</file>