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D8" w:rsidRDefault="009D5943" w:rsidP="00811019">
      <w:pPr>
        <w:pStyle w:val="a5"/>
        <w:rPr>
          <w:sz w:val="28"/>
          <w:szCs w:val="28"/>
          <w:lang w:val="ru-RU"/>
        </w:rPr>
      </w:pPr>
      <w:r w:rsidRPr="00E06B08">
        <w:rPr>
          <w:rStyle w:val="a4"/>
          <w:lang w:val="ru-RU"/>
        </w:rPr>
        <w:t>Влияние диеты на здоровье полости рта у детей и подростков: современные подходы и профилактика</w:t>
      </w:r>
      <w:r>
        <w:rPr>
          <w:lang w:val="ru-RU"/>
        </w:rPr>
        <w:br/>
      </w:r>
      <w:r w:rsidR="0065644A" w:rsidRPr="0065644A">
        <w:rPr>
          <w:sz w:val="28"/>
          <w:szCs w:val="28"/>
          <w:lang w:val="ru-RU"/>
        </w:rPr>
        <w:t>Здоровье полости рта является важной составляющей общего благополучия детей и подростков, напрямую влияя на их качество жизни и социальное развитие (</w:t>
      </w:r>
      <w:r w:rsidR="0065644A" w:rsidRPr="0065644A">
        <w:rPr>
          <w:sz w:val="28"/>
          <w:szCs w:val="28"/>
        </w:rPr>
        <w:t>Moynihan</w:t>
      </w:r>
      <w:r w:rsidR="0065644A" w:rsidRPr="0065644A">
        <w:rPr>
          <w:sz w:val="28"/>
          <w:szCs w:val="28"/>
          <w:lang w:val="ru-RU"/>
        </w:rPr>
        <w:t xml:space="preserve"> &amp; </w:t>
      </w:r>
      <w:r w:rsidR="0065644A" w:rsidRPr="0065644A">
        <w:rPr>
          <w:sz w:val="28"/>
          <w:szCs w:val="28"/>
        </w:rPr>
        <w:t>Kelly</w:t>
      </w:r>
      <w:r w:rsidR="0065644A" w:rsidRPr="0065644A">
        <w:rPr>
          <w:sz w:val="28"/>
          <w:szCs w:val="28"/>
          <w:lang w:val="ru-RU"/>
        </w:rPr>
        <w:t xml:space="preserve">, 2014; </w:t>
      </w:r>
      <w:proofErr w:type="spellStart"/>
      <w:r w:rsidR="0065644A" w:rsidRPr="0065644A">
        <w:rPr>
          <w:sz w:val="28"/>
          <w:szCs w:val="28"/>
        </w:rPr>
        <w:t>Sheiham</w:t>
      </w:r>
      <w:proofErr w:type="spellEnd"/>
      <w:r w:rsidR="0065644A" w:rsidRPr="0065644A">
        <w:rPr>
          <w:sz w:val="28"/>
          <w:szCs w:val="28"/>
          <w:lang w:val="ru-RU"/>
        </w:rPr>
        <w:t>, 2001). В последние годы статистика свидетельствует о глобальном росте стоматологических заболеваний среди молодого поколения: по данным ВОЗ, кариесом страдают более 530 миллионов детей в мире, и эта тенденция продолжает усиливаться (</w:t>
      </w:r>
      <w:r w:rsidR="0065644A" w:rsidRPr="0065644A">
        <w:rPr>
          <w:sz w:val="28"/>
          <w:szCs w:val="28"/>
        </w:rPr>
        <w:t>WHO</w:t>
      </w:r>
      <w:r w:rsidR="0065644A" w:rsidRPr="0065644A">
        <w:rPr>
          <w:sz w:val="28"/>
          <w:szCs w:val="28"/>
          <w:lang w:val="ru-RU"/>
        </w:rPr>
        <w:t>, 2022). В Казахстане ситуация особенно серьёзна: по информации Единой Казахстанской ассоциации стоматологов, 8 из 10 детей имеют кариозные поражения (24.</w:t>
      </w:r>
      <w:proofErr w:type="spellStart"/>
      <w:r w:rsidR="0065644A" w:rsidRPr="0065644A">
        <w:rPr>
          <w:sz w:val="28"/>
          <w:szCs w:val="28"/>
        </w:rPr>
        <w:t>kz</w:t>
      </w:r>
      <w:proofErr w:type="spellEnd"/>
      <w:r w:rsidR="0065644A" w:rsidRPr="0065644A">
        <w:rPr>
          <w:sz w:val="28"/>
          <w:szCs w:val="28"/>
          <w:lang w:val="ru-RU"/>
        </w:rPr>
        <w:t>, 2024). Несмотря на масштабность проблемы, влияние питания на состояние полости рта у детей остаётся недостаточно изученным аспектом, особенно в контексте разработки профилактических программ. Поэтому данная статья нацелена на детальный анализ современной научной литературы и статистических данных, позволяющих выявить связь между особенностями питания и стоматологическим здоровьем детей и подростков. На основе полученных результатов будут предложены практические рекомендации для родителей и специалистов, направленные на профилактику стоматологических патологий и формирование рационального питания молодого поколения.</w:t>
      </w:r>
      <w:r w:rsidR="00461209" w:rsidRPr="0065644A">
        <w:rPr>
          <w:sz w:val="28"/>
          <w:szCs w:val="28"/>
          <w:lang w:val="ru-RU"/>
        </w:rPr>
        <w:br/>
      </w:r>
      <w:r w:rsidR="00461209">
        <w:rPr>
          <w:lang w:val="ru-RU"/>
        </w:rPr>
        <w:t xml:space="preserve">   </w:t>
      </w:r>
      <w:r w:rsidR="00461209" w:rsidRPr="00E06B08">
        <w:rPr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007BA9">
        <w:rPr>
          <w:sz w:val="28"/>
          <w:szCs w:val="28"/>
          <w:lang w:val="ru-RU"/>
        </w:rPr>
        <w:br/>
      </w:r>
      <w:r w:rsidR="00007BA9" w:rsidRPr="0065644A">
        <w:rPr>
          <w:sz w:val="28"/>
          <w:szCs w:val="28"/>
          <w:lang w:val="ru-RU"/>
        </w:rPr>
        <w:t>Избыточное потребление сахаров и простых углеводов оказывает разрушительное влияние на состояние зубов (</w:t>
      </w:r>
      <w:r w:rsidR="00007BA9" w:rsidRPr="0065644A">
        <w:rPr>
          <w:sz w:val="28"/>
          <w:szCs w:val="28"/>
        </w:rPr>
        <w:t>Moynihan</w:t>
      </w:r>
      <w:r w:rsidR="00007BA9" w:rsidRPr="0065644A">
        <w:rPr>
          <w:sz w:val="28"/>
          <w:szCs w:val="28"/>
          <w:lang w:val="ru-RU"/>
        </w:rPr>
        <w:t xml:space="preserve"> &amp; </w:t>
      </w:r>
      <w:r w:rsidR="00007BA9" w:rsidRPr="0065644A">
        <w:rPr>
          <w:sz w:val="28"/>
          <w:szCs w:val="28"/>
        </w:rPr>
        <w:t>Petersen</w:t>
      </w:r>
      <w:r w:rsidR="00007BA9" w:rsidRPr="0065644A">
        <w:rPr>
          <w:sz w:val="28"/>
          <w:szCs w:val="28"/>
          <w:lang w:val="ru-RU"/>
        </w:rPr>
        <w:t xml:space="preserve">, 2004), создавая благоприятную среду для размножения патогенных бактерий, таких как </w:t>
      </w:r>
      <w:r w:rsidR="00007BA9" w:rsidRPr="0065644A">
        <w:rPr>
          <w:rStyle w:val="a6"/>
          <w:sz w:val="28"/>
          <w:szCs w:val="28"/>
        </w:rPr>
        <w:t>Streptococcus</w:t>
      </w:r>
      <w:r w:rsidR="00007BA9" w:rsidRPr="0065644A">
        <w:rPr>
          <w:rStyle w:val="a6"/>
          <w:sz w:val="28"/>
          <w:szCs w:val="28"/>
          <w:lang w:val="ru-RU"/>
        </w:rPr>
        <w:t xml:space="preserve"> </w:t>
      </w:r>
      <w:proofErr w:type="spellStart"/>
      <w:r w:rsidR="00007BA9" w:rsidRPr="0065644A">
        <w:rPr>
          <w:rStyle w:val="a6"/>
          <w:sz w:val="28"/>
          <w:szCs w:val="28"/>
        </w:rPr>
        <w:t>mutans</w:t>
      </w:r>
      <w:proofErr w:type="spellEnd"/>
      <w:r w:rsidR="00007BA9" w:rsidRPr="0065644A">
        <w:rPr>
          <w:sz w:val="28"/>
          <w:szCs w:val="28"/>
          <w:lang w:val="ru-RU"/>
        </w:rPr>
        <w:t xml:space="preserve"> (</w:t>
      </w:r>
      <w:r w:rsidR="00007BA9" w:rsidRPr="0065644A">
        <w:rPr>
          <w:sz w:val="28"/>
          <w:szCs w:val="28"/>
        </w:rPr>
        <w:t>Moynihan</w:t>
      </w:r>
      <w:r w:rsidR="00007BA9" w:rsidRPr="0065644A">
        <w:rPr>
          <w:sz w:val="28"/>
          <w:szCs w:val="28"/>
          <w:lang w:val="ru-RU"/>
        </w:rPr>
        <w:t xml:space="preserve"> &amp; </w:t>
      </w:r>
      <w:r w:rsidR="00007BA9" w:rsidRPr="0065644A">
        <w:rPr>
          <w:sz w:val="28"/>
          <w:szCs w:val="28"/>
        </w:rPr>
        <w:t>Kelly</w:t>
      </w:r>
      <w:r w:rsidR="00007BA9" w:rsidRPr="0065644A">
        <w:rPr>
          <w:sz w:val="28"/>
          <w:szCs w:val="28"/>
          <w:lang w:val="ru-RU"/>
        </w:rPr>
        <w:t xml:space="preserve">, 2014; </w:t>
      </w:r>
      <w:proofErr w:type="spellStart"/>
      <w:r w:rsidR="00007BA9" w:rsidRPr="0065644A">
        <w:rPr>
          <w:sz w:val="28"/>
          <w:szCs w:val="28"/>
        </w:rPr>
        <w:t>Loesche</w:t>
      </w:r>
      <w:proofErr w:type="spellEnd"/>
      <w:r w:rsidR="00007BA9" w:rsidRPr="0065644A">
        <w:rPr>
          <w:sz w:val="28"/>
          <w:szCs w:val="28"/>
          <w:lang w:val="ru-RU"/>
        </w:rPr>
        <w:t>, 1986).</w:t>
      </w:r>
      <w:r w:rsidR="00007BA9" w:rsidRPr="00007BA9">
        <w:rPr>
          <w:sz w:val="28"/>
          <w:szCs w:val="28"/>
          <w:lang w:val="ru-RU"/>
        </w:rPr>
        <w:t xml:space="preserve"> При ферментации сахаров, включая сахарозу, глюкозу и фруктозу, данные бактерии вырабатывают органические кислоты, в частности молочную кислоту, что ведёт к снижению уровня </w:t>
      </w:r>
      <w:r w:rsidR="00007BA9" w:rsidRPr="00007BA9">
        <w:rPr>
          <w:sz w:val="28"/>
          <w:szCs w:val="28"/>
        </w:rPr>
        <w:t>pH</w:t>
      </w:r>
      <w:r w:rsidR="00007BA9" w:rsidRPr="00007BA9">
        <w:rPr>
          <w:sz w:val="28"/>
          <w:szCs w:val="28"/>
          <w:lang w:val="ru-RU"/>
        </w:rPr>
        <w:t xml:space="preserve"> в полости рта и последующей деминерализации эмали, приводящей к развитию кариозных поражений (</w:t>
      </w:r>
      <w:proofErr w:type="spellStart"/>
      <w:r w:rsidR="00007BA9" w:rsidRPr="00007BA9">
        <w:rPr>
          <w:sz w:val="28"/>
          <w:szCs w:val="28"/>
        </w:rPr>
        <w:t>Tinanoff</w:t>
      </w:r>
      <w:proofErr w:type="spellEnd"/>
      <w:r w:rsidR="00007BA9" w:rsidRPr="00007BA9">
        <w:rPr>
          <w:sz w:val="28"/>
          <w:szCs w:val="28"/>
          <w:lang w:val="ru-RU"/>
        </w:rPr>
        <w:t xml:space="preserve"> &amp; </w:t>
      </w:r>
      <w:r w:rsidR="00007BA9" w:rsidRPr="00007BA9">
        <w:rPr>
          <w:sz w:val="28"/>
          <w:szCs w:val="28"/>
        </w:rPr>
        <w:t>Baez</w:t>
      </w:r>
      <w:r w:rsidR="00007BA9" w:rsidRPr="00007BA9">
        <w:rPr>
          <w:sz w:val="28"/>
          <w:szCs w:val="28"/>
          <w:lang w:val="ru-RU"/>
        </w:rPr>
        <w:t xml:space="preserve">, 2005; </w:t>
      </w:r>
      <w:r w:rsidR="00007BA9" w:rsidRPr="00007BA9">
        <w:rPr>
          <w:sz w:val="28"/>
          <w:szCs w:val="28"/>
        </w:rPr>
        <w:t>Featherstone</w:t>
      </w:r>
      <w:r w:rsidR="00007BA9" w:rsidRPr="00007BA9">
        <w:rPr>
          <w:sz w:val="28"/>
          <w:szCs w:val="28"/>
          <w:lang w:val="ru-RU"/>
        </w:rPr>
        <w:t>, 2008). Регулярное употребление кислых напитков дополнительно усиливает эрозию эмали и повышает риск развития стоматологических патологий (</w:t>
      </w:r>
      <w:proofErr w:type="spellStart"/>
      <w:r w:rsidR="00007BA9" w:rsidRPr="00007BA9">
        <w:rPr>
          <w:sz w:val="28"/>
          <w:szCs w:val="28"/>
        </w:rPr>
        <w:t>Lussi</w:t>
      </w:r>
      <w:proofErr w:type="spellEnd"/>
      <w:r w:rsidR="00007BA9" w:rsidRPr="00007BA9">
        <w:rPr>
          <w:sz w:val="28"/>
          <w:szCs w:val="28"/>
          <w:lang w:val="ru-RU"/>
        </w:rPr>
        <w:t xml:space="preserve"> &amp; </w:t>
      </w:r>
      <w:proofErr w:type="spellStart"/>
      <w:r w:rsidR="00007BA9" w:rsidRPr="00007BA9">
        <w:rPr>
          <w:sz w:val="28"/>
          <w:szCs w:val="28"/>
        </w:rPr>
        <w:t>Schaffner</w:t>
      </w:r>
      <w:proofErr w:type="spellEnd"/>
      <w:r w:rsidR="00007BA9" w:rsidRPr="00007BA9">
        <w:rPr>
          <w:sz w:val="28"/>
          <w:szCs w:val="28"/>
          <w:lang w:val="ru-RU"/>
        </w:rPr>
        <w:t>, 2013). Остатки пищи, особенно липкой и вязкой консистенции, застревающие на зубах и в межзубных промежутках, значительно продлевают время воздействия сахаров и кислот на зубную поверхность, увеличивая вероятность возникновения кариеса (</w:t>
      </w:r>
      <w:r w:rsidR="00007BA9" w:rsidRPr="00007BA9">
        <w:rPr>
          <w:sz w:val="28"/>
          <w:szCs w:val="28"/>
        </w:rPr>
        <w:t>Marshall</w:t>
      </w:r>
      <w:r w:rsidR="00007BA9" w:rsidRPr="00007BA9">
        <w:rPr>
          <w:sz w:val="28"/>
          <w:szCs w:val="28"/>
          <w:lang w:val="ru-RU"/>
        </w:rPr>
        <w:t xml:space="preserve"> </w:t>
      </w:r>
      <w:r w:rsidR="00007BA9" w:rsidRPr="00007BA9">
        <w:rPr>
          <w:sz w:val="28"/>
          <w:szCs w:val="28"/>
        </w:rPr>
        <w:t>et</w:t>
      </w:r>
      <w:r w:rsidR="00007BA9" w:rsidRPr="00007BA9">
        <w:rPr>
          <w:sz w:val="28"/>
          <w:szCs w:val="28"/>
          <w:lang w:val="ru-RU"/>
        </w:rPr>
        <w:t xml:space="preserve"> </w:t>
      </w:r>
      <w:r w:rsidR="00007BA9" w:rsidRPr="00007BA9">
        <w:rPr>
          <w:sz w:val="28"/>
          <w:szCs w:val="28"/>
        </w:rPr>
        <w:t>al</w:t>
      </w:r>
      <w:r w:rsidR="00007BA9" w:rsidRPr="00007BA9">
        <w:rPr>
          <w:sz w:val="28"/>
          <w:szCs w:val="28"/>
          <w:lang w:val="ru-RU"/>
        </w:rPr>
        <w:t xml:space="preserve">., 2013; </w:t>
      </w:r>
      <w:proofErr w:type="spellStart"/>
      <w:r w:rsidR="00007BA9" w:rsidRPr="00007BA9">
        <w:rPr>
          <w:sz w:val="28"/>
          <w:szCs w:val="28"/>
        </w:rPr>
        <w:t>Lussi</w:t>
      </w:r>
      <w:proofErr w:type="spellEnd"/>
      <w:r w:rsidR="00007BA9" w:rsidRPr="00007BA9">
        <w:rPr>
          <w:sz w:val="28"/>
          <w:szCs w:val="28"/>
          <w:lang w:val="ru-RU"/>
        </w:rPr>
        <w:t xml:space="preserve"> &amp; </w:t>
      </w:r>
      <w:proofErr w:type="spellStart"/>
      <w:r w:rsidR="00007BA9" w:rsidRPr="00007BA9">
        <w:rPr>
          <w:sz w:val="28"/>
          <w:szCs w:val="28"/>
        </w:rPr>
        <w:t>Schaffner</w:t>
      </w:r>
      <w:proofErr w:type="spellEnd"/>
      <w:r w:rsidR="00007BA9" w:rsidRPr="00007BA9">
        <w:rPr>
          <w:sz w:val="28"/>
          <w:szCs w:val="28"/>
          <w:lang w:val="ru-RU"/>
        </w:rPr>
        <w:t xml:space="preserve">, 2013). Поэтому для профилактики стоматологических заболеваний важно не только ограничивать потребление сахаров и кислых </w:t>
      </w:r>
      <w:r w:rsidR="00007BA9" w:rsidRPr="00007BA9">
        <w:rPr>
          <w:sz w:val="28"/>
          <w:szCs w:val="28"/>
          <w:lang w:val="ru-RU"/>
        </w:rPr>
        <w:lastRenderedPageBreak/>
        <w:t>продуктов, но и регулярно проводить эффективную гигиену полости рта, включая тщательную чистку зубов и полоскание после приема пищи (</w:t>
      </w:r>
      <w:r w:rsidR="00007BA9" w:rsidRPr="00007BA9">
        <w:rPr>
          <w:sz w:val="28"/>
          <w:szCs w:val="28"/>
        </w:rPr>
        <w:t>Featherstone</w:t>
      </w:r>
      <w:r w:rsidR="00007BA9" w:rsidRPr="00007BA9">
        <w:rPr>
          <w:sz w:val="28"/>
          <w:szCs w:val="28"/>
          <w:lang w:val="ru-RU"/>
        </w:rPr>
        <w:t xml:space="preserve">, 2008; </w:t>
      </w:r>
      <w:r w:rsidR="00007BA9" w:rsidRPr="00007BA9">
        <w:rPr>
          <w:sz w:val="28"/>
          <w:szCs w:val="28"/>
        </w:rPr>
        <w:t>Marshall</w:t>
      </w:r>
      <w:r w:rsidR="00007BA9" w:rsidRPr="00007BA9">
        <w:rPr>
          <w:sz w:val="28"/>
          <w:szCs w:val="28"/>
          <w:lang w:val="ru-RU"/>
        </w:rPr>
        <w:t xml:space="preserve"> </w:t>
      </w:r>
      <w:r w:rsidR="00007BA9" w:rsidRPr="00007BA9">
        <w:rPr>
          <w:sz w:val="28"/>
          <w:szCs w:val="28"/>
        </w:rPr>
        <w:t>et</w:t>
      </w:r>
      <w:r w:rsidR="00007BA9" w:rsidRPr="00007BA9">
        <w:rPr>
          <w:sz w:val="28"/>
          <w:szCs w:val="28"/>
          <w:lang w:val="ru-RU"/>
        </w:rPr>
        <w:t xml:space="preserve"> </w:t>
      </w:r>
      <w:r w:rsidR="00007BA9" w:rsidRPr="00007BA9">
        <w:rPr>
          <w:sz w:val="28"/>
          <w:szCs w:val="28"/>
        </w:rPr>
        <w:t>al</w:t>
      </w:r>
      <w:r w:rsidR="00007BA9" w:rsidRPr="00007BA9">
        <w:rPr>
          <w:sz w:val="28"/>
          <w:szCs w:val="28"/>
          <w:lang w:val="ru-RU"/>
        </w:rPr>
        <w:t>., 2013).</w:t>
      </w:r>
      <w:r w:rsidR="00461209" w:rsidRPr="00007BA9">
        <w:rPr>
          <w:sz w:val="28"/>
          <w:szCs w:val="28"/>
          <w:lang w:val="ru-RU"/>
        </w:rPr>
        <w:br/>
      </w:r>
      <w:r w:rsidR="00007BA9">
        <w:rPr>
          <w:lang w:val="ru-RU"/>
        </w:rPr>
        <w:br/>
        <w:t xml:space="preserve">  </w:t>
      </w:r>
      <w:r w:rsidR="00007BA9">
        <w:rPr>
          <w:lang w:val="ru-RU"/>
        </w:rPr>
        <w:br/>
      </w:r>
      <w:r w:rsidR="00007BA9" w:rsidRPr="0065644A">
        <w:rPr>
          <w:sz w:val="28"/>
          <w:szCs w:val="28"/>
          <w:lang w:val="ru-RU"/>
        </w:rPr>
        <w:t>Кислотосодержащие продукты и напитки, содержащиеся во фруктовых соках, газированных напитках и других популярных продуктах, представляют особую угрозу для здоровья полости рта, так как они непосредственно вызывают эрозию зубной эмали, независимо от присутствия бактерий (</w:t>
      </w:r>
      <w:proofErr w:type="spellStart"/>
      <w:r w:rsidR="00007BA9" w:rsidRPr="0065644A">
        <w:rPr>
          <w:sz w:val="28"/>
          <w:szCs w:val="28"/>
        </w:rPr>
        <w:t>Lussi</w:t>
      </w:r>
      <w:proofErr w:type="spellEnd"/>
      <w:r w:rsidR="00007BA9" w:rsidRPr="0065644A">
        <w:rPr>
          <w:sz w:val="28"/>
          <w:szCs w:val="28"/>
          <w:lang w:val="ru-RU"/>
        </w:rPr>
        <w:t xml:space="preserve"> &amp; </w:t>
      </w:r>
      <w:proofErr w:type="spellStart"/>
      <w:r w:rsidR="00007BA9" w:rsidRPr="0065644A">
        <w:rPr>
          <w:sz w:val="28"/>
          <w:szCs w:val="28"/>
        </w:rPr>
        <w:t>Schaffner</w:t>
      </w:r>
      <w:proofErr w:type="spellEnd"/>
      <w:r w:rsidR="00007BA9" w:rsidRPr="0065644A">
        <w:rPr>
          <w:sz w:val="28"/>
          <w:szCs w:val="28"/>
          <w:lang w:val="ru-RU"/>
        </w:rPr>
        <w:t>, 2013).</w:t>
      </w:r>
      <w:r w:rsidR="00007BA9" w:rsidRPr="00007BA9">
        <w:rPr>
          <w:sz w:val="28"/>
          <w:szCs w:val="28"/>
          <w:lang w:val="ru-RU"/>
        </w:rPr>
        <w:t xml:space="preserve"> В отличие от кариеса, эрозия эмали является химическим процессом, при котором эмаль подвергается прямому воздействию кислот, таких как лимонная, яблочная или фосфорная кислоты, содержащихся в газированных напитках, цитрусовых соках и энергетиках (</w:t>
      </w:r>
      <w:proofErr w:type="spellStart"/>
      <w:r w:rsidR="00007BA9" w:rsidRPr="00007BA9">
        <w:rPr>
          <w:sz w:val="28"/>
          <w:szCs w:val="28"/>
        </w:rPr>
        <w:t>Tahmassebi</w:t>
      </w:r>
      <w:proofErr w:type="spellEnd"/>
      <w:r w:rsidR="00007BA9" w:rsidRPr="00007BA9">
        <w:rPr>
          <w:sz w:val="28"/>
          <w:szCs w:val="28"/>
          <w:lang w:val="ru-RU"/>
        </w:rPr>
        <w:t xml:space="preserve"> </w:t>
      </w:r>
      <w:r w:rsidR="00007BA9" w:rsidRPr="00007BA9">
        <w:rPr>
          <w:sz w:val="28"/>
          <w:szCs w:val="28"/>
        </w:rPr>
        <w:t>et</w:t>
      </w:r>
      <w:r w:rsidR="00007BA9" w:rsidRPr="00007BA9">
        <w:rPr>
          <w:sz w:val="28"/>
          <w:szCs w:val="28"/>
          <w:lang w:val="ru-RU"/>
        </w:rPr>
        <w:t xml:space="preserve"> </w:t>
      </w:r>
      <w:r w:rsidR="00007BA9" w:rsidRPr="00007BA9">
        <w:rPr>
          <w:sz w:val="28"/>
          <w:szCs w:val="28"/>
        </w:rPr>
        <w:t>al</w:t>
      </w:r>
      <w:r w:rsidR="00007BA9" w:rsidRPr="00007BA9">
        <w:rPr>
          <w:sz w:val="28"/>
          <w:szCs w:val="28"/>
          <w:lang w:val="ru-RU"/>
        </w:rPr>
        <w:t xml:space="preserve">., 2014). Регулярное потребление таких напитков, особенно в течение длительного времени, приводит к снижению уровня </w:t>
      </w:r>
      <w:r w:rsidR="00007BA9" w:rsidRPr="00007BA9">
        <w:rPr>
          <w:sz w:val="28"/>
          <w:szCs w:val="28"/>
        </w:rPr>
        <w:t>pH</w:t>
      </w:r>
      <w:r w:rsidR="00007BA9" w:rsidRPr="00007BA9">
        <w:rPr>
          <w:sz w:val="28"/>
          <w:szCs w:val="28"/>
          <w:lang w:val="ru-RU"/>
        </w:rPr>
        <w:t xml:space="preserve"> в полости рта до критических значений (ниже 5,5), что способствует растворению минералов эмали (</w:t>
      </w:r>
      <w:proofErr w:type="spellStart"/>
      <w:r w:rsidR="00007BA9" w:rsidRPr="00007BA9">
        <w:rPr>
          <w:sz w:val="28"/>
          <w:szCs w:val="28"/>
        </w:rPr>
        <w:t>Dugmore</w:t>
      </w:r>
      <w:proofErr w:type="spellEnd"/>
      <w:r w:rsidR="00007BA9" w:rsidRPr="00007BA9">
        <w:rPr>
          <w:sz w:val="28"/>
          <w:szCs w:val="28"/>
          <w:lang w:val="ru-RU"/>
        </w:rPr>
        <w:t xml:space="preserve"> &amp; </w:t>
      </w:r>
      <w:r w:rsidR="00007BA9" w:rsidRPr="00007BA9">
        <w:rPr>
          <w:sz w:val="28"/>
          <w:szCs w:val="28"/>
        </w:rPr>
        <w:t>Rock</w:t>
      </w:r>
      <w:r w:rsidR="00007BA9" w:rsidRPr="00007BA9">
        <w:rPr>
          <w:sz w:val="28"/>
          <w:szCs w:val="28"/>
          <w:lang w:val="ru-RU"/>
        </w:rPr>
        <w:t>, 2004). Исследования показывают, что подростки, которые регулярно употребляют Кислотосодержащие продукты и напитки, имеют в 3-4 раза более высокие показатели эрозии эмали по сравнению с их сверстниками, которые их избегают (</w:t>
      </w:r>
      <w:proofErr w:type="spellStart"/>
      <w:r w:rsidR="00007BA9" w:rsidRPr="00007BA9">
        <w:rPr>
          <w:sz w:val="28"/>
          <w:szCs w:val="28"/>
        </w:rPr>
        <w:t>Hasselkvist</w:t>
      </w:r>
      <w:proofErr w:type="spellEnd"/>
      <w:r w:rsidR="00007BA9" w:rsidRPr="00007BA9">
        <w:rPr>
          <w:sz w:val="28"/>
          <w:szCs w:val="28"/>
          <w:lang w:val="ru-RU"/>
        </w:rPr>
        <w:t xml:space="preserve"> </w:t>
      </w:r>
      <w:r w:rsidR="00007BA9" w:rsidRPr="00007BA9">
        <w:rPr>
          <w:sz w:val="28"/>
          <w:szCs w:val="28"/>
        </w:rPr>
        <w:t>et</w:t>
      </w:r>
      <w:r w:rsidR="00007BA9" w:rsidRPr="00007BA9">
        <w:rPr>
          <w:sz w:val="28"/>
          <w:szCs w:val="28"/>
          <w:lang w:val="ru-RU"/>
        </w:rPr>
        <w:t xml:space="preserve"> </w:t>
      </w:r>
      <w:r w:rsidR="00007BA9" w:rsidRPr="00007BA9">
        <w:rPr>
          <w:sz w:val="28"/>
          <w:szCs w:val="28"/>
        </w:rPr>
        <w:t>al</w:t>
      </w:r>
      <w:r w:rsidR="00007BA9" w:rsidRPr="00007BA9">
        <w:rPr>
          <w:sz w:val="28"/>
          <w:szCs w:val="28"/>
          <w:lang w:val="ru-RU"/>
        </w:rPr>
        <w:t>., 2016). При этом, длительное нахождение напитка в полости рта</w:t>
      </w:r>
      <w:r w:rsidR="005C580E">
        <w:rPr>
          <w:sz w:val="28"/>
          <w:szCs w:val="28"/>
          <w:lang w:val="ru-RU"/>
        </w:rPr>
        <w:t xml:space="preserve"> </w:t>
      </w:r>
      <w:r w:rsidR="00007BA9" w:rsidRPr="00007BA9">
        <w:rPr>
          <w:sz w:val="28"/>
          <w:szCs w:val="28"/>
          <w:lang w:val="ru-RU"/>
        </w:rPr>
        <w:t>увеличивает продолжительность контакта кислоты с зубной поверхностью и соответственно, степень повреждения эмали (</w:t>
      </w:r>
      <w:proofErr w:type="spellStart"/>
      <w:r w:rsidR="00007BA9" w:rsidRPr="00007BA9">
        <w:rPr>
          <w:sz w:val="28"/>
          <w:szCs w:val="28"/>
        </w:rPr>
        <w:t>Tahmassebi</w:t>
      </w:r>
      <w:proofErr w:type="spellEnd"/>
      <w:r w:rsidR="00007BA9" w:rsidRPr="00007BA9">
        <w:rPr>
          <w:sz w:val="28"/>
          <w:szCs w:val="28"/>
          <w:lang w:val="ru-RU"/>
        </w:rPr>
        <w:t xml:space="preserve"> </w:t>
      </w:r>
      <w:r w:rsidR="00007BA9" w:rsidRPr="00007BA9">
        <w:rPr>
          <w:sz w:val="28"/>
          <w:szCs w:val="28"/>
        </w:rPr>
        <w:t>et</w:t>
      </w:r>
      <w:r w:rsidR="00007BA9" w:rsidRPr="00007BA9">
        <w:rPr>
          <w:sz w:val="28"/>
          <w:szCs w:val="28"/>
          <w:lang w:val="ru-RU"/>
        </w:rPr>
        <w:t xml:space="preserve"> </w:t>
      </w:r>
      <w:r w:rsidR="00007BA9" w:rsidRPr="00007BA9">
        <w:rPr>
          <w:sz w:val="28"/>
          <w:szCs w:val="28"/>
        </w:rPr>
        <w:t>al</w:t>
      </w:r>
      <w:r w:rsidR="00007BA9" w:rsidRPr="00007BA9">
        <w:rPr>
          <w:sz w:val="28"/>
          <w:szCs w:val="28"/>
          <w:lang w:val="ru-RU"/>
        </w:rPr>
        <w:t>., 2006). Таким образом, регулярное потребление кислых продуктов и напитков, особенно без нейтрализующих процедур (полоскания или чистки зубов), может привести к серьёзным последствиям для здоровья зубов у детей и подростков, требуя активной профилактической работы и повышения информированности родителей и самих подростков о данных рисках (</w:t>
      </w:r>
      <w:r w:rsidR="00007BA9" w:rsidRPr="00007BA9">
        <w:rPr>
          <w:sz w:val="28"/>
          <w:szCs w:val="28"/>
        </w:rPr>
        <w:t>Marshall</w:t>
      </w:r>
      <w:r w:rsidR="00007BA9" w:rsidRPr="00007BA9">
        <w:rPr>
          <w:sz w:val="28"/>
          <w:szCs w:val="28"/>
          <w:lang w:val="ru-RU"/>
        </w:rPr>
        <w:t xml:space="preserve"> </w:t>
      </w:r>
      <w:r w:rsidR="00007BA9" w:rsidRPr="00007BA9">
        <w:rPr>
          <w:sz w:val="28"/>
          <w:szCs w:val="28"/>
        </w:rPr>
        <w:t>et</w:t>
      </w:r>
      <w:r w:rsidR="00007BA9" w:rsidRPr="00007BA9">
        <w:rPr>
          <w:sz w:val="28"/>
          <w:szCs w:val="28"/>
          <w:lang w:val="ru-RU"/>
        </w:rPr>
        <w:t xml:space="preserve"> </w:t>
      </w:r>
      <w:r w:rsidR="00007BA9" w:rsidRPr="00007BA9">
        <w:rPr>
          <w:sz w:val="28"/>
          <w:szCs w:val="28"/>
        </w:rPr>
        <w:t>al</w:t>
      </w:r>
      <w:r w:rsidR="00007BA9" w:rsidRPr="00007BA9">
        <w:rPr>
          <w:sz w:val="28"/>
          <w:szCs w:val="28"/>
          <w:lang w:val="ru-RU"/>
        </w:rPr>
        <w:t xml:space="preserve">., 2013; </w:t>
      </w:r>
      <w:proofErr w:type="spellStart"/>
      <w:r w:rsidR="00007BA9" w:rsidRPr="00007BA9">
        <w:rPr>
          <w:sz w:val="28"/>
          <w:szCs w:val="28"/>
        </w:rPr>
        <w:t>Lussi</w:t>
      </w:r>
      <w:proofErr w:type="spellEnd"/>
      <w:r w:rsidR="00007BA9" w:rsidRPr="00007BA9">
        <w:rPr>
          <w:sz w:val="28"/>
          <w:szCs w:val="28"/>
          <w:lang w:val="ru-RU"/>
        </w:rPr>
        <w:t xml:space="preserve"> &amp; </w:t>
      </w:r>
      <w:proofErr w:type="spellStart"/>
      <w:r w:rsidR="00007BA9" w:rsidRPr="00007BA9">
        <w:rPr>
          <w:sz w:val="28"/>
          <w:szCs w:val="28"/>
        </w:rPr>
        <w:t>Schaffner</w:t>
      </w:r>
      <w:proofErr w:type="spellEnd"/>
      <w:r w:rsidR="00007BA9" w:rsidRPr="00007BA9">
        <w:rPr>
          <w:sz w:val="28"/>
          <w:szCs w:val="28"/>
          <w:lang w:val="ru-RU"/>
        </w:rPr>
        <w:t>, 2013).</w:t>
      </w:r>
      <w:r w:rsidR="005C580E">
        <w:rPr>
          <w:sz w:val="28"/>
          <w:szCs w:val="28"/>
          <w:lang w:val="ru-RU"/>
        </w:rPr>
        <w:br/>
      </w:r>
    </w:p>
    <w:p w:rsidR="00811019" w:rsidRPr="00811019" w:rsidRDefault="0065644A" w:rsidP="00811019">
      <w:pPr>
        <w:pStyle w:val="a5"/>
        <w:rPr>
          <w:lang w:val="ru-RU"/>
        </w:rPr>
      </w:pPr>
      <w:r>
        <w:rPr>
          <w:sz w:val="28"/>
          <w:szCs w:val="28"/>
          <w:lang w:val="ru-RU"/>
        </w:rPr>
        <w:t>В добавок к этому, к</w:t>
      </w:r>
      <w:r w:rsidR="005C580E" w:rsidRPr="00811019">
        <w:rPr>
          <w:sz w:val="28"/>
          <w:szCs w:val="28"/>
          <w:lang w:val="ru-RU"/>
        </w:rPr>
        <w:t xml:space="preserve">альций, фосфор и витамин </w:t>
      </w:r>
      <w:r w:rsidR="005C580E" w:rsidRPr="00811019">
        <w:rPr>
          <w:sz w:val="28"/>
          <w:szCs w:val="28"/>
        </w:rPr>
        <w:t>D</w:t>
      </w:r>
      <w:r w:rsidR="005C580E" w:rsidRPr="00811019">
        <w:rPr>
          <w:sz w:val="28"/>
          <w:szCs w:val="28"/>
          <w:lang w:val="ru-RU"/>
        </w:rPr>
        <w:t xml:space="preserve"> играют решающую роль в поддержании и укреплении здоровья полости рта у детей и подростков, так как принимают активное участие в формировании и </w:t>
      </w:r>
      <w:proofErr w:type="spellStart"/>
      <w:r w:rsidR="005C580E" w:rsidRPr="00811019">
        <w:rPr>
          <w:sz w:val="28"/>
          <w:szCs w:val="28"/>
          <w:lang w:val="ru-RU"/>
        </w:rPr>
        <w:t>реминерализации</w:t>
      </w:r>
      <w:proofErr w:type="spellEnd"/>
      <w:r w:rsidR="005C580E" w:rsidRPr="00811019">
        <w:rPr>
          <w:sz w:val="28"/>
          <w:szCs w:val="28"/>
          <w:lang w:val="ru-RU"/>
        </w:rPr>
        <w:t xml:space="preserve"> зубной эмали (</w:t>
      </w:r>
      <w:proofErr w:type="spellStart"/>
      <w:r w:rsidR="005C580E" w:rsidRPr="00811019">
        <w:rPr>
          <w:sz w:val="28"/>
          <w:szCs w:val="28"/>
        </w:rPr>
        <w:t>Schroth</w:t>
      </w:r>
      <w:proofErr w:type="spellEnd"/>
      <w:r w:rsidR="005C580E" w:rsidRPr="00811019">
        <w:rPr>
          <w:sz w:val="28"/>
          <w:szCs w:val="28"/>
          <w:lang w:val="ru-RU"/>
        </w:rPr>
        <w:t xml:space="preserve"> </w:t>
      </w:r>
      <w:r w:rsidR="005C580E" w:rsidRPr="00811019">
        <w:rPr>
          <w:sz w:val="28"/>
          <w:szCs w:val="28"/>
        </w:rPr>
        <w:t>et</w:t>
      </w:r>
      <w:r w:rsidR="005C580E" w:rsidRPr="00811019">
        <w:rPr>
          <w:sz w:val="28"/>
          <w:szCs w:val="28"/>
          <w:lang w:val="ru-RU"/>
        </w:rPr>
        <w:t xml:space="preserve"> </w:t>
      </w:r>
      <w:r w:rsidR="005C580E" w:rsidRPr="00811019">
        <w:rPr>
          <w:sz w:val="28"/>
          <w:szCs w:val="28"/>
        </w:rPr>
        <w:t>al</w:t>
      </w:r>
      <w:r w:rsidR="005C580E" w:rsidRPr="00811019">
        <w:rPr>
          <w:sz w:val="28"/>
          <w:szCs w:val="28"/>
          <w:lang w:val="ru-RU"/>
        </w:rPr>
        <w:t xml:space="preserve">., 2020) </w:t>
      </w:r>
      <w:r w:rsidR="00811019" w:rsidRPr="00811019">
        <w:rPr>
          <w:sz w:val="28"/>
          <w:szCs w:val="28"/>
          <w:lang w:val="ru-RU"/>
        </w:rPr>
        <w:t>Кальций и фосфор являются основными минералами, необходимыми для создания и восстановления структуры эмали, обеспечивая ее прочность и устойчивость к воздействию кислот и бактерий (</w:t>
      </w:r>
      <w:r w:rsidR="00811019" w:rsidRPr="00811019">
        <w:rPr>
          <w:sz w:val="28"/>
          <w:szCs w:val="28"/>
        </w:rPr>
        <w:t>Featherstone</w:t>
      </w:r>
      <w:r w:rsidR="00811019" w:rsidRPr="00811019">
        <w:rPr>
          <w:sz w:val="28"/>
          <w:szCs w:val="28"/>
          <w:lang w:val="ru-RU"/>
        </w:rPr>
        <w:t xml:space="preserve">, 2008; </w:t>
      </w:r>
      <w:r w:rsidR="00811019" w:rsidRPr="00811019">
        <w:rPr>
          <w:sz w:val="28"/>
          <w:szCs w:val="28"/>
        </w:rPr>
        <w:t>Moynihan</w:t>
      </w:r>
      <w:r w:rsidR="00811019" w:rsidRPr="00811019">
        <w:rPr>
          <w:sz w:val="28"/>
          <w:szCs w:val="28"/>
          <w:lang w:val="ru-RU"/>
        </w:rPr>
        <w:t xml:space="preserve"> &amp; </w:t>
      </w:r>
      <w:r w:rsidR="00811019" w:rsidRPr="00811019">
        <w:rPr>
          <w:sz w:val="28"/>
          <w:szCs w:val="28"/>
        </w:rPr>
        <w:t>Petersen</w:t>
      </w:r>
      <w:r w:rsidR="00811019" w:rsidRPr="00811019">
        <w:rPr>
          <w:sz w:val="28"/>
          <w:szCs w:val="28"/>
          <w:lang w:val="ru-RU"/>
        </w:rPr>
        <w:t xml:space="preserve">, 2004). При этом витамин </w:t>
      </w:r>
      <w:r w:rsidR="00811019" w:rsidRPr="00811019">
        <w:rPr>
          <w:sz w:val="28"/>
          <w:szCs w:val="28"/>
        </w:rPr>
        <w:t>D</w:t>
      </w:r>
      <w:r w:rsidR="00811019" w:rsidRPr="008110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оказывает существенное влияние</w:t>
      </w:r>
      <w:r w:rsidR="00811019" w:rsidRPr="00811019">
        <w:rPr>
          <w:sz w:val="28"/>
          <w:szCs w:val="28"/>
          <w:lang w:val="ru-RU"/>
        </w:rPr>
        <w:t xml:space="preserve"> в регуляции обмена кальция и фосфора, способствуя их эффективному всасыванию в кишечнике и поддержанию оптимального уровня этих минералов в организме (</w:t>
      </w:r>
      <w:proofErr w:type="spellStart"/>
      <w:r w:rsidR="00811019" w:rsidRPr="00811019">
        <w:rPr>
          <w:sz w:val="28"/>
          <w:szCs w:val="28"/>
        </w:rPr>
        <w:t>Hujoel</w:t>
      </w:r>
      <w:proofErr w:type="spellEnd"/>
      <w:r w:rsidR="00811019" w:rsidRPr="00811019">
        <w:rPr>
          <w:sz w:val="28"/>
          <w:szCs w:val="28"/>
          <w:lang w:val="ru-RU"/>
        </w:rPr>
        <w:t xml:space="preserve">, 2013). Недавние исследования подтверждают, что у детей и подростков, страдающих дефицитом витамина </w:t>
      </w:r>
      <w:r w:rsidR="00811019" w:rsidRPr="00811019">
        <w:rPr>
          <w:sz w:val="28"/>
          <w:szCs w:val="28"/>
        </w:rPr>
        <w:t>D</w:t>
      </w:r>
      <w:r w:rsidR="00811019" w:rsidRPr="00811019">
        <w:rPr>
          <w:sz w:val="28"/>
          <w:szCs w:val="28"/>
          <w:lang w:val="ru-RU"/>
        </w:rPr>
        <w:t xml:space="preserve">, существенно повышается риск развития стоматологических заболеваний, включая кариес и ослабление </w:t>
      </w:r>
      <w:r w:rsidR="00811019" w:rsidRPr="00811019">
        <w:rPr>
          <w:sz w:val="28"/>
          <w:szCs w:val="28"/>
          <w:lang w:val="ru-RU"/>
        </w:rPr>
        <w:lastRenderedPageBreak/>
        <w:t>эмали (</w:t>
      </w:r>
      <w:proofErr w:type="spellStart"/>
      <w:r w:rsidR="00811019" w:rsidRPr="00811019">
        <w:rPr>
          <w:sz w:val="28"/>
          <w:szCs w:val="28"/>
        </w:rPr>
        <w:t>Botelho</w:t>
      </w:r>
      <w:proofErr w:type="spellEnd"/>
      <w:r w:rsidR="00811019" w:rsidRPr="00811019">
        <w:rPr>
          <w:sz w:val="28"/>
          <w:szCs w:val="28"/>
          <w:lang w:val="ru-RU"/>
        </w:rPr>
        <w:t xml:space="preserve"> </w:t>
      </w:r>
      <w:r w:rsidR="00811019" w:rsidRPr="00811019">
        <w:rPr>
          <w:sz w:val="28"/>
          <w:szCs w:val="28"/>
        </w:rPr>
        <w:t>et</w:t>
      </w:r>
      <w:r w:rsidR="00811019" w:rsidRPr="00811019">
        <w:rPr>
          <w:sz w:val="28"/>
          <w:szCs w:val="28"/>
          <w:lang w:val="ru-RU"/>
        </w:rPr>
        <w:t xml:space="preserve"> </w:t>
      </w:r>
      <w:r w:rsidR="00811019" w:rsidRPr="00811019">
        <w:rPr>
          <w:sz w:val="28"/>
          <w:szCs w:val="28"/>
        </w:rPr>
        <w:t>al</w:t>
      </w:r>
      <w:r w:rsidR="00811019" w:rsidRPr="00811019">
        <w:rPr>
          <w:sz w:val="28"/>
          <w:szCs w:val="28"/>
          <w:lang w:val="ru-RU"/>
        </w:rPr>
        <w:t xml:space="preserve">., 2020). Недостаток данных микроэлементов и витаминов приводит к нарушению процессов </w:t>
      </w:r>
      <w:proofErr w:type="spellStart"/>
      <w:r w:rsidR="00811019" w:rsidRPr="00811019">
        <w:rPr>
          <w:sz w:val="28"/>
          <w:szCs w:val="28"/>
          <w:lang w:val="ru-RU"/>
        </w:rPr>
        <w:t>реминерализации</w:t>
      </w:r>
      <w:proofErr w:type="spellEnd"/>
      <w:r w:rsidR="00811019" w:rsidRPr="00811019">
        <w:rPr>
          <w:sz w:val="28"/>
          <w:szCs w:val="28"/>
          <w:lang w:val="ru-RU"/>
        </w:rPr>
        <w:t xml:space="preserve"> эмали и снижению ее устойчивости, в результате чего зубы становятся более восприимчивыми к разрушению (</w:t>
      </w:r>
      <w:r w:rsidR="00811019" w:rsidRPr="00811019">
        <w:rPr>
          <w:sz w:val="28"/>
          <w:szCs w:val="28"/>
        </w:rPr>
        <w:t>Marshall</w:t>
      </w:r>
      <w:r w:rsidR="00811019" w:rsidRPr="00811019">
        <w:rPr>
          <w:sz w:val="28"/>
          <w:szCs w:val="28"/>
          <w:lang w:val="ru-RU"/>
        </w:rPr>
        <w:t xml:space="preserve"> </w:t>
      </w:r>
      <w:r w:rsidR="00811019" w:rsidRPr="00811019">
        <w:rPr>
          <w:sz w:val="28"/>
          <w:szCs w:val="28"/>
        </w:rPr>
        <w:t>et</w:t>
      </w:r>
      <w:r w:rsidR="00811019" w:rsidRPr="00811019">
        <w:rPr>
          <w:sz w:val="28"/>
          <w:szCs w:val="28"/>
          <w:lang w:val="ru-RU"/>
        </w:rPr>
        <w:t xml:space="preserve"> </w:t>
      </w:r>
      <w:r w:rsidR="00811019" w:rsidRPr="00811019">
        <w:rPr>
          <w:sz w:val="28"/>
          <w:szCs w:val="28"/>
        </w:rPr>
        <w:t>al</w:t>
      </w:r>
      <w:r w:rsidR="00811019" w:rsidRPr="00811019">
        <w:rPr>
          <w:sz w:val="28"/>
          <w:szCs w:val="28"/>
          <w:lang w:val="ru-RU"/>
        </w:rPr>
        <w:t xml:space="preserve">., 2013; </w:t>
      </w:r>
      <w:proofErr w:type="spellStart"/>
      <w:r w:rsidR="00811019" w:rsidRPr="00811019">
        <w:rPr>
          <w:sz w:val="28"/>
          <w:szCs w:val="28"/>
        </w:rPr>
        <w:t>Botelho</w:t>
      </w:r>
      <w:proofErr w:type="spellEnd"/>
      <w:r w:rsidR="00811019" w:rsidRPr="00811019">
        <w:rPr>
          <w:sz w:val="28"/>
          <w:szCs w:val="28"/>
          <w:lang w:val="ru-RU"/>
        </w:rPr>
        <w:t xml:space="preserve"> </w:t>
      </w:r>
      <w:r w:rsidR="00811019" w:rsidRPr="00811019">
        <w:rPr>
          <w:sz w:val="28"/>
          <w:szCs w:val="28"/>
        </w:rPr>
        <w:t>et</w:t>
      </w:r>
      <w:r w:rsidR="00811019" w:rsidRPr="00811019">
        <w:rPr>
          <w:sz w:val="28"/>
          <w:szCs w:val="28"/>
          <w:lang w:val="ru-RU"/>
        </w:rPr>
        <w:t xml:space="preserve"> </w:t>
      </w:r>
      <w:r w:rsidR="00811019" w:rsidRPr="00811019">
        <w:rPr>
          <w:sz w:val="28"/>
          <w:szCs w:val="28"/>
        </w:rPr>
        <w:t>al</w:t>
      </w:r>
      <w:r w:rsidR="00811019" w:rsidRPr="00811019">
        <w:rPr>
          <w:sz w:val="28"/>
          <w:szCs w:val="28"/>
          <w:lang w:val="ru-RU"/>
        </w:rPr>
        <w:t xml:space="preserve">., 2020). Таким образом, для профилактики стоматологических заболеваний у детей и подростков необходимо формировать рацион, обеспечивающий адекватное поступление кальция, фосфора и витамина </w:t>
      </w:r>
      <w:r w:rsidR="00811019" w:rsidRPr="00811019">
        <w:rPr>
          <w:sz w:val="28"/>
          <w:szCs w:val="28"/>
        </w:rPr>
        <w:t>D</w:t>
      </w:r>
      <w:r w:rsidR="00811019" w:rsidRPr="00811019">
        <w:rPr>
          <w:sz w:val="28"/>
          <w:szCs w:val="28"/>
          <w:lang w:val="ru-RU"/>
        </w:rPr>
        <w:t>, а также повышать осведомленность родителей и специалистов о значении этих микроэлементов для здоровья полости рта (</w:t>
      </w:r>
      <w:proofErr w:type="spellStart"/>
      <w:r w:rsidR="00811019" w:rsidRPr="00811019">
        <w:rPr>
          <w:sz w:val="28"/>
          <w:szCs w:val="28"/>
        </w:rPr>
        <w:t>Sheiham</w:t>
      </w:r>
      <w:proofErr w:type="spellEnd"/>
      <w:r w:rsidR="00811019" w:rsidRPr="00811019">
        <w:rPr>
          <w:sz w:val="28"/>
          <w:szCs w:val="28"/>
          <w:lang w:val="ru-RU"/>
        </w:rPr>
        <w:t xml:space="preserve">, 2001; </w:t>
      </w:r>
      <w:r w:rsidR="00811019" w:rsidRPr="00811019">
        <w:rPr>
          <w:sz w:val="28"/>
          <w:szCs w:val="28"/>
        </w:rPr>
        <w:t>Featherstone</w:t>
      </w:r>
      <w:r w:rsidR="00811019" w:rsidRPr="00811019">
        <w:rPr>
          <w:sz w:val="28"/>
          <w:szCs w:val="28"/>
          <w:lang w:val="ru-RU"/>
        </w:rPr>
        <w:t>, 2008).</w:t>
      </w:r>
      <w:r w:rsidR="00811019">
        <w:rPr>
          <w:sz w:val="28"/>
          <w:szCs w:val="28"/>
          <w:lang w:val="ru-RU"/>
        </w:rPr>
        <w:br/>
      </w:r>
      <w:r w:rsidR="00811019">
        <w:rPr>
          <w:sz w:val="28"/>
          <w:szCs w:val="28"/>
          <w:lang w:val="ru-RU"/>
        </w:rPr>
        <w:br/>
      </w:r>
      <w:r w:rsidR="00811019">
        <w:rPr>
          <w:sz w:val="28"/>
          <w:szCs w:val="28"/>
          <w:lang w:val="ru-RU"/>
        </w:rPr>
        <w:br/>
      </w:r>
      <w:r w:rsidR="00811019" w:rsidRPr="00811019">
        <w:rPr>
          <w:sz w:val="28"/>
          <w:szCs w:val="28"/>
          <w:lang w:val="ru-RU"/>
        </w:rPr>
        <w:t xml:space="preserve">Оптимальный водный баланс и адекватное слюноотделение </w:t>
      </w:r>
      <w:r>
        <w:rPr>
          <w:sz w:val="28"/>
          <w:szCs w:val="28"/>
          <w:lang w:val="ru-RU"/>
        </w:rPr>
        <w:t xml:space="preserve">выполняет центральную </w:t>
      </w:r>
      <w:proofErr w:type="spellStart"/>
      <w:r>
        <w:rPr>
          <w:sz w:val="28"/>
          <w:szCs w:val="28"/>
          <w:lang w:val="ru-RU"/>
        </w:rPr>
        <w:t>фунцию</w:t>
      </w:r>
      <w:proofErr w:type="spellEnd"/>
      <w:r w:rsidR="00811019" w:rsidRPr="00811019">
        <w:rPr>
          <w:sz w:val="28"/>
          <w:szCs w:val="28"/>
          <w:lang w:val="ru-RU"/>
        </w:rPr>
        <w:t xml:space="preserve"> в профилактике стоматологических заболеваний, поддерживая стабильный уровень </w:t>
      </w:r>
      <w:r w:rsidR="00811019" w:rsidRPr="00811019">
        <w:rPr>
          <w:sz w:val="28"/>
          <w:szCs w:val="28"/>
        </w:rPr>
        <w:t>pH</w:t>
      </w:r>
      <w:r w:rsidR="00811019" w:rsidRPr="00811019">
        <w:rPr>
          <w:sz w:val="28"/>
          <w:szCs w:val="28"/>
          <w:lang w:val="ru-RU"/>
        </w:rPr>
        <w:t xml:space="preserve"> и защищая поверхность зубов от эрозивного воздействия кислот (</w:t>
      </w:r>
      <w:proofErr w:type="spellStart"/>
      <w:r w:rsidR="00811019" w:rsidRPr="00811019">
        <w:rPr>
          <w:sz w:val="28"/>
          <w:szCs w:val="28"/>
        </w:rPr>
        <w:t>Llena</w:t>
      </w:r>
      <w:proofErr w:type="spellEnd"/>
      <w:r w:rsidR="00811019" w:rsidRPr="00811019">
        <w:rPr>
          <w:sz w:val="28"/>
          <w:szCs w:val="28"/>
          <w:lang w:val="ru-RU"/>
        </w:rPr>
        <w:t xml:space="preserve"> &amp; </w:t>
      </w:r>
      <w:proofErr w:type="spellStart"/>
      <w:r w:rsidR="00811019" w:rsidRPr="00811019">
        <w:rPr>
          <w:sz w:val="28"/>
          <w:szCs w:val="28"/>
        </w:rPr>
        <w:t>Saeves</w:t>
      </w:r>
      <w:proofErr w:type="spellEnd"/>
      <w:r w:rsidR="00811019" w:rsidRPr="00811019">
        <w:rPr>
          <w:sz w:val="28"/>
          <w:szCs w:val="28"/>
          <w:lang w:val="ru-RU"/>
        </w:rPr>
        <w:t>, 2022). Регулярное и достаточное потребление воды способствует механическому удалению остатков пищи и снижает концентрацию кислот, вырабатываемых бактериями в процессе ферментации сахаров и углеводов, тем самым предотвращая длительную кислотную атаку на эмаль (</w:t>
      </w:r>
      <w:proofErr w:type="spellStart"/>
      <w:r w:rsidR="00811019" w:rsidRPr="00811019">
        <w:rPr>
          <w:sz w:val="28"/>
          <w:szCs w:val="28"/>
        </w:rPr>
        <w:t>Naumova</w:t>
      </w:r>
      <w:proofErr w:type="spellEnd"/>
      <w:r w:rsidR="00811019" w:rsidRPr="00811019">
        <w:rPr>
          <w:sz w:val="28"/>
          <w:szCs w:val="28"/>
          <w:lang w:val="ru-RU"/>
        </w:rPr>
        <w:t xml:space="preserve"> </w:t>
      </w:r>
      <w:r w:rsidR="00811019" w:rsidRPr="00811019">
        <w:rPr>
          <w:sz w:val="28"/>
          <w:szCs w:val="28"/>
        </w:rPr>
        <w:t>et</w:t>
      </w:r>
      <w:r w:rsidR="00811019" w:rsidRPr="00811019">
        <w:rPr>
          <w:sz w:val="28"/>
          <w:szCs w:val="28"/>
          <w:lang w:val="ru-RU"/>
        </w:rPr>
        <w:t xml:space="preserve"> </w:t>
      </w:r>
      <w:r w:rsidR="00811019" w:rsidRPr="00811019">
        <w:rPr>
          <w:sz w:val="28"/>
          <w:szCs w:val="28"/>
        </w:rPr>
        <w:t>al</w:t>
      </w:r>
      <w:r w:rsidR="00811019" w:rsidRPr="00811019">
        <w:rPr>
          <w:sz w:val="28"/>
          <w:szCs w:val="28"/>
          <w:lang w:val="ru-RU"/>
        </w:rPr>
        <w:t xml:space="preserve">., 2019). Более того, слюна является естественным защитным фактором полости рта, обладающим высокой буферной способностью и содержащим необходимые минералы, такие как кальций, фосфаты и бикарбонаты, которые способствуют процессам </w:t>
      </w:r>
      <w:proofErr w:type="spellStart"/>
      <w:r w:rsidR="00811019" w:rsidRPr="00811019">
        <w:rPr>
          <w:sz w:val="28"/>
          <w:szCs w:val="28"/>
          <w:lang w:val="ru-RU"/>
        </w:rPr>
        <w:t>реминерализации</w:t>
      </w:r>
      <w:proofErr w:type="spellEnd"/>
      <w:r w:rsidR="00811019" w:rsidRPr="00811019">
        <w:rPr>
          <w:sz w:val="28"/>
          <w:szCs w:val="28"/>
          <w:lang w:val="ru-RU"/>
        </w:rPr>
        <w:t xml:space="preserve"> эмали после воздействия кислот (</w:t>
      </w:r>
      <w:proofErr w:type="spellStart"/>
      <w:r w:rsidR="00811019" w:rsidRPr="00811019">
        <w:rPr>
          <w:sz w:val="28"/>
          <w:szCs w:val="28"/>
        </w:rPr>
        <w:t>Lussi</w:t>
      </w:r>
      <w:proofErr w:type="spellEnd"/>
      <w:r w:rsidR="00811019" w:rsidRPr="00811019">
        <w:rPr>
          <w:sz w:val="28"/>
          <w:szCs w:val="28"/>
          <w:lang w:val="ru-RU"/>
        </w:rPr>
        <w:t xml:space="preserve"> &amp; </w:t>
      </w:r>
      <w:proofErr w:type="spellStart"/>
      <w:r w:rsidR="00811019" w:rsidRPr="00811019">
        <w:rPr>
          <w:sz w:val="28"/>
          <w:szCs w:val="28"/>
        </w:rPr>
        <w:t>Carvalho</w:t>
      </w:r>
      <w:proofErr w:type="spellEnd"/>
      <w:r w:rsidR="00811019" w:rsidRPr="00811019">
        <w:rPr>
          <w:sz w:val="28"/>
          <w:szCs w:val="28"/>
          <w:lang w:val="ru-RU"/>
        </w:rPr>
        <w:t xml:space="preserve">, 2022; </w:t>
      </w:r>
      <w:r w:rsidR="00811019" w:rsidRPr="00811019">
        <w:rPr>
          <w:sz w:val="28"/>
          <w:szCs w:val="28"/>
        </w:rPr>
        <w:t>Pedersen</w:t>
      </w:r>
      <w:r w:rsidR="00811019" w:rsidRPr="00811019">
        <w:rPr>
          <w:sz w:val="28"/>
          <w:szCs w:val="28"/>
          <w:lang w:val="ru-RU"/>
        </w:rPr>
        <w:t xml:space="preserve"> </w:t>
      </w:r>
      <w:r w:rsidR="00811019" w:rsidRPr="00811019">
        <w:rPr>
          <w:sz w:val="28"/>
          <w:szCs w:val="28"/>
        </w:rPr>
        <w:t>et</w:t>
      </w:r>
      <w:r w:rsidR="00811019" w:rsidRPr="00811019">
        <w:rPr>
          <w:sz w:val="28"/>
          <w:szCs w:val="28"/>
          <w:lang w:val="ru-RU"/>
        </w:rPr>
        <w:t xml:space="preserve"> </w:t>
      </w:r>
      <w:r w:rsidR="00811019" w:rsidRPr="00811019">
        <w:rPr>
          <w:sz w:val="28"/>
          <w:szCs w:val="28"/>
        </w:rPr>
        <w:t>al</w:t>
      </w:r>
      <w:r w:rsidR="00811019" w:rsidRPr="00811019">
        <w:rPr>
          <w:sz w:val="28"/>
          <w:szCs w:val="28"/>
          <w:lang w:val="ru-RU"/>
        </w:rPr>
        <w:t>., 2018). Современные исследования подтверждают, что снижение слюноотделения существенно повышает риск развития кариеса и эрозии эмали, особенно у детей и подростков (</w:t>
      </w:r>
      <w:proofErr w:type="spellStart"/>
      <w:r w:rsidR="00811019" w:rsidRPr="00811019">
        <w:rPr>
          <w:sz w:val="28"/>
          <w:szCs w:val="28"/>
        </w:rPr>
        <w:t>Naumova</w:t>
      </w:r>
      <w:proofErr w:type="spellEnd"/>
      <w:r w:rsidR="00811019" w:rsidRPr="00811019">
        <w:rPr>
          <w:sz w:val="28"/>
          <w:szCs w:val="28"/>
          <w:lang w:val="ru-RU"/>
        </w:rPr>
        <w:t xml:space="preserve"> </w:t>
      </w:r>
      <w:r w:rsidR="00811019" w:rsidRPr="00811019">
        <w:rPr>
          <w:sz w:val="28"/>
          <w:szCs w:val="28"/>
        </w:rPr>
        <w:t>et</w:t>
      </w:r>
      <w:r w:rsidR="00811019" w:rsidRPr="00811019">
        <w:rPr>
          <w:sz w:val="28"/>
          <w:szCs w:val="28"/>
          <w:lang w:val="ru-RU"/>
        </w:rPr>
        <w:t xml:space="preserve"> </w:t>
      </w:r>
      <w:r w:rsidR="00811019" w:rsidRPr="00811019">
        <w:rPr>
          <w:sz w:val="28"/>
          <w:szCs w:val="28"/>
        </w:rPr>
        <w:t>al</w:t>
      </w:r>
      <w:r w:rsidR="00811019" w:rsidRPr="00811019">
        <w:rPr>
          <w:sz w:val="28"/>
          <w:szCs w:val="28"/>
          <w:lang w:val="ru-RU"/>
        </w:rPr>
        <w:t xml:space="preserve">., 2019; </w:t>
      </w:r>
      <w:r w:rsidR="00811019" w:rsidRPr="00811019">
        <w:rPr>
          <w:sz w:val="28"/>
          <w:szCs w:val="28"/>
        </w:rPr>
        <w:t>Hara</w:t>
      </w:r>
      <w:r w:rsidR="00811019" w:rsidRPr="00811019">
        <w:rPr>
          <w:sz w:val="28"/>
          <w:szCs w:val="28"/>
          <w:lang w:val="ru-RU"/>
        </w:rPr>
        <w:t xml:space="preserve"> &amp; </w:t>
      </w:r>
      <w:r w:rsidR="00811019" w:rsidRPr="00811019">
        <w:rPr>
          <w:sz w:val="28"/>
          <w:szCs w:val="28"/>
        </w:rPr>
        <w:t>Zero</w:t>
      </w:r>
      <w:r w:rsidR="00811019" w:rsidRPr="00811019">
        <w:rPr>
          <w:sz w:val="28"/>
          <w:szCs w:val="28"/>
          <w:lang w:val="ru-RU"/>
        </w:rPr>
        <w:t>, 2022). Таким образом, поддержание нормального водного баланса через регулярное потребление чистой воды и стимуляция слюноотделения, например, путём употребления несладких жевательных резинок или продуктов, стимулирующих выработку слюны, должны быть неотъемлемыми компонентами профилактических стратегий по улучшению стоматологического здоровья молодого поколения (</w:t>
      </w:r>
      <w:r w:rsidR="00811019" w:rsidRPr="00811019">
        <w:rPr>
          <w:sz w:val="28"/>
          <w:szCs w:val="28"/>
        </w:rPr>
        <w:t>Hara</w:t>
      </w:r>
      <w:r w:rsidR="00811019" w:rsidRPr="00811019">
        <w:rPr>
          <w:sz w:val="28"/>
          <w:szCs w:val="28"/>
          <w:lang w:val="ru-RU"/>
        </w:rPr>
        <w:t xml:space="preserve"> &amp; </w:t>
      </w:r>
      <w:r w:rsidR="00811019" w:rsidRPr="00811019">
        <w:rPr>
          <w:sz w:val="28"/>
          <w:szCs w:val="28"/>
        </w:rPr>
        <w:t>Zero</w:t>
      </w:r>
      <w:r w:rsidR="00811019" w:rsidRPr="00811019">
        <w:rPr>
          <w:sz w:val="28"/>
          <w:szCs w:val="28"/>
          <w:lang w:val="ru-RU"/>
        </w:rPr>
        <w:t>, 2022).</w:t>
      </w:r>
    </w:p>
    <w:p w:rsidR="00763119" w:rsidRDefault="00811019" w:rsidP="00E54594">
      <w:pPr>
        <w:pStyle w:val="a5"/>
        <w:rPr>
          <w:sz w:val="28"/>
          <w:szCs w:val="28"/>
          <w:lang w:val="ru-RU"/>
        </w:rPr>
      </w:pPr>
      <w:r w:rsidRPr="00811019">
        <w:rPr>
          <w:sz w:val="28"/>
          <w:szCs w:val="28"/>
          <w:lang w:val="ru-RU"/>
        </w:rPr>
        <w:t xml:space="preserve">Современные научные исследования убедительно демонстрируют тесную взаимосвязь между диетическими привычками и состоянием полости рта у детей и подростков. Согласно систематическому обзору </w:t>
      </w:r>
      <w:r w:rsidRPr="00811019">
        <w:rPr>
          <w:sz w:val="28"/>
          <w:szCs w:val="28"/>
        </w:rPr>
        <w:t>Moynihan</w:t>
      </w:r>
      <w:r w:rsidRPr="00811019">
        <w:rPr>
          <w:sz w:val="28"/>
          <w:szCs w:val="28"/>
          <w:lang w:val="ru-RU"/>
        </w:rPr>
        <w:t xml:space="preserve"> и </w:t>
      </w:r>
      <w:r w:rsidRPr="00811019">
        <w:rPr>
          <w:sz w:val="28"/>
          <w:szCs w:val="28"/>
        </w:rPr>
        <w:t>Kelly</w:t>
      </w:r>
      <w:r w:rsidRPr="00811019">
        <w:rPr>
          <w:sz w:val="28"/>
          <w:szCs w:val="28"/>
          <w:lang w:val="ru-RU"/>
        </w:rPr>
        <w:t xml:space="preserve"> (2014), ограничение потребления сахара приводит к статистически значимому снижению риска развития кариеса, особенно в детской и подростковой возрастных группах. Аналогичные выводы представлены в исследовании </w:t>
      </w:r>
      <w:proofErr w:type="spellStart"/>
      <w:r w:rsidRPr="00811019">
        <w:rPr>
          <w:sz w:val="28"/>
          <w:szCs w:val="28"/>
        </w:rPr>
        <w:t>Schroth</w:t>
      </w:r>
      <w:proofErr w:type="spellEnd"/>
      <w:r w:rsidRPr="00811019">
        <w:rPr>
          <w:sz w:val="28"/>
          <w:szCs w:val="28"/>
          <w:lang w:val="ru-RU"/>
        </w:rPr>
        <w:t xml:space="preserve"> и коллег (2020), согласно которому частое употребление сладких напитков значительно увеличивает заболеваемость кариесом, а снижение их потребления позволяет существенно улучшить стоматологические показатели. </w:t>
      </w:r>
      <w:r w:rsidRPr="00811019">
        <w:rPr>
          <w:sz w:val="28"/>
          <w:szCs w:val="28"/>
        </w:rPr>
        <w:lastRenderedPageBreak/>
        <w:t>Featherstone</w:t>
      </w:r>
      <w:r w:rsidRPr="00811019">
        <w:rPr>
          <w:sz w:val="28"/>
          <w:szCs w:val="28"/>
          <w:lang w:val="ru-RU"/>
        </w:rPr>
        <w:t xml:space="preserve"> (2008), исследуя биохимические механизмы кариеса, также подтвердил, что диета с высоким содержанием сахаров и простых углеводов является важнейшим фактором риска, приводящим к активизации </w:t>
      </w:r>
      <w:proofErr w:type="spellStart"/>
      <w:r w:rsidRPr="00811019">
        <w:rPr>
          <w:sz w:val="28"/>
          <w:szCs w:val="28"/>
          <w:lang w:val="ru-RU"/>
        </w:rPr>
        <w:t>кислотопродуцирующих</w:t>
      </w:r>
      <w:proofErr w:type="spellEnd"/>
      <w:r w:rsidRPr="00811019">
        <w:rPr>
          <w:sz w:val="28"/>
          <w:szCs w:val="28"/>
          <w:lang w:val="ru-RU"/>
        </w:rPr>
        <w:t xml:space="preserve"> бактерий и последующей деминерализации эмали. Более того, по данным исследования </w:t>
      </w:r>
      <w:bookmarkStart w:id="0" w:name="_GoBack"/>
      <w:bookmarkEnd w:id="0"/>
      <w:proofErr w:type="spellStart"/>
      <w:r w:rsidRPr="00F652A4">
        <w:rPr>
          <w:sz w:val="28"/>
          <w:szCs w:val="28"/>
        </w:rPr>
        <w:t>Hasselkvist</w:t>
      </w:r>
      <w:proofErr w:type="spellEnd"/>
      <w:r w:rsidRPr="00F652A4">
        <w:rPr>
          <w:sz w:val="28"/>
          <w:szCs w:val="28"/>
          <w:lang w:val="ru-RU"/>
        </w:rPr>
        <w:t xml:space="preserve"> и коллег (2016), регулярное употребление кислых напитков (газированные напитки, соки, энергетики)</w:t>
      </w:r>
      <w:r w:rsidRPr="00811019">
        <w:rPr>
          <w:sz w:val="28"/>
          <w:szCs w:val="28"/>
          <w:lang w:val="ru-RU"/>
        </w:rPr>
        <w:t xml:space="preserve"> напрямую коррелирует с распространённостью эрозии зубной эмали среди подростков, увеличивая её вероятность в несколько раз по сравнению с подростками, предпочитающими менее агрессивные напитки. Важно отметить, что профилактические программы, направленные на формирование здоровых пищевых привычек, доказали свою эффективность в снижении распространённости стоматологических заболеваний среди молодёжи, подтверждая значимость рационального питания в профилактике стоматологических патологий (</w:t>
      </w:r>
      <w:r w:rsidRPr="00811019">
        <w:rPr>
          <w:sz w:val="28"/>
          <w:szCs w:val="28"/>
        </w:rPr>
        <w:t>Marshall</w:t>
      </w:r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et</w:t>
      </w:r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al</w:t>
      </w:r>
      <w:r w:rsidRPr="00811019">
        <w:rPr>
          <w:sz w:val="28"/>
          <w:szCs w:val="28"/>
          <w:lang w:val="ru-RU"/>
        </w:rPr>
        <w:t xml:space="preserve">., 2013; </w:t>
      </w:r>
      <w:proofErr w:type="spellStart"/>
      <w:r w:rsidRPr="00811019">
        <w:rPr>
          <w:sz w:val="28"/>
          <w:szCs w:val="28"/>
        </w:rPr>
        <w:t>Schroth</w:t>
      </w:r>
      <w:proofErr w:type="spellEnd"/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et</w:t>
      </w:r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al</w:t>
      </w:r>
      <w:r w:rsidRPr="00811019">
        <w:rPr>
          <w:sz w:val="28"/>
          <w:szCs w:val="28"/>
          <w:lang w:val="ru-RU"/>
        </w:rPr>
        <w:t>., 2020).</w:t>
      </w:r>
      <w:r w:rsidRPr="00811019">
        <w:rPr>
          <w:sz w:val="28"/>
          <w:szCs w:val="28"/>
          <w:lang w:val="ru-RU"/>
        </w:rPr>
        <w:br/>
      </w:r>
      <w:r w:rsidRPr="00811019">
        <w:rPr>
          <w:sz w:val="28"/>
          <w:szCs w:val="28"/>
          <w:lang w:val="ru-RU"/>
        </w:rPr>
        <w:br/>
      </w:r>
      <w:r w:rsidRPr="00811019">
        <w:rPr>
          <w:sz w:val="28"/>
          <w:szCs w:val="28"/>
          <w:lang w:val="ru-RU"/>
        </w:rPr>
        <w:br/>
        <w:t xml:space="preserve">Целый ряд современных публикаций и аналитических обзоров подчёркивает важность отдельных элементов питания, таких как кальций, фосфор и витамин </w:t>
      </w:r>
      <w:r w:rsidRPr="00811019">
        <w:rPr>
          <w:sz w:val="28"/>
          <w:szCs w:val="28"/>
        </w:rPr>
        <w:t>D</w:t>
      </w:r>
      <w:r w:rsidRPr="00811019">
        <w:rPr>
          <w:sz w:val="28"/>
          <w:szCs w:val="28"/>
          <w:lang w:val="ru-RU"/>
        </w:rPr>
        <w:t>, в обеспечении стоматологического здоровья у детей и подростков. Кальций и фосфор являются основными минералами, входящими в структуру зубной эмали и отвечающими за её прочность и устойчивость к внешним повреждающим воздействиям (</w:t>
      </w:r>
      <w:r w:rsidRPr="00811019">
        <w:rPr>
          <w:sz w:val="28"/>
          <w:szCs w:val="28"/>
        </w:rPr>
        <w:t>Featherstone</w:t>
      </w:r>
      <w:r w:rsidRPr="00811019">
        <w:rPr>
          <w:sz w:val="28"/>
          <w:szCs w:val="28"/>
          <w:lang w:val="ru-RU"/>
        </w:rPr>
        <w:t xml:space="preserve">, 2008; </w:t>
      </w:r>
      <w:proofErr w:type="spellStart"/>
      <w:r w:rsidRPr="00811019">
        <w:rPr>
          <w:sz w:val="28"/>
          <w:szCs w:val="28"/>
        </w:rPr>
        <w:t>Schroth</w:t>
      </w:r>
      <w:proofErr w:type="spellEnd"/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et</w:t>
      </w:r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al</w:t>
      </w:r>
      <w:r w:rsidRPr="00811019">
        <w:rPr>
          <w:sz w:val="28"/>
          <w:szCs w:val="28"/>
          <w:lang w:val="ru-RU"/>
        </w:rPr>
        <w:t xml:space="preserve">., 2020). В свою очередь, витамин </w:t>
      </w:r>
      <w:r w:rsidRPr="00811019">
        <w:rPr>
          <w:sz w:val="28"/>
          <w:szCs w:val="28"/>
        </w:rPr>
        <w:t>D</w:t>
      </w:r>
      <w:r w:rsidRPr="00811019">
        <w:rPr>
          <w:sz w:val="28"/>
          <w:szCs w:val="28"/>
          <w:lang w:val="ru-RU"/>
        </w:rPr>
        <w:t xml:space="preserve"> играет критическую роль в обменных процессах, улучшая всасывание и усвоение кальция и фосфора, что является необходимым условием для полноценного развития и </w:t>
      </w:r>
      <w:proofErr w:type="spellStart"/>
      <w:r w:rsidRPr="00811019">
        <w:rPr>
          <w:sz w:val="28"/>
          <w:szCs w:val="28"/>
          <w:lang w:val="ru-RU"/>
        </w:rPr>
        <w:t>реминерализации</w:t>
      </w:r>
      <w:proofErr w:type="spellEnd"/>
      <w:r w:rsidRPr="00811019">
        <w:rPr>
          <w:sz w:val="28"/>
          <w:szCs w:val="28"/>
          <w:lang w:val="ru-RU"/>
        </w:rPr>
        <w:t xml:space="preserve"> зубов в детском возрасте (</w:t>
      </w:r>
      <w:proofErr w:type="spellStart"/>
      <w:r w:rsidRPr="00811019">
        <w:rPr>
          <w:sz w:val="28"/>
          <w:szCs w:val="28"/>
        </w:rPr>
        <w:t>Hujoel</w:t>
      </w:r>
      <w:proofErr w:type="spellEnd"/>
      <w:r w:rsidRPr="00811019">
        <w:rPr>
          <w:sz w:val="28"/>
          <w:szCs w:val="28"/>
          <w:lang w:val="ru-RU"/>
        </w:rPr>
        <w:t xml:space="preserve">, 2013; </w:t>
      </w:r>
      <w:proofErr w:type="spellStart"/>
      <w:r w:rsidRPr="00811019">
        <w:rPr>
          <w:sz w:val="28"/>
          <w:szCs w:val="28"/>
        </w:rPr>
        <w:t>Botelho</w:t>
      </w:r>
      <w:proofErr w:type="spellEnd"/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et</w:t>
      </w:r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al</w:t>
      </w:r>
      <w:r w:rsidRPr="00811019">
        <w:rPr>
          <w:sz w:val="28"/>
          <w:szCs w:val="28"/>
          <w:lang w:val="ru-RU"/>
        </w:rPr>
        <w:t xml:space="preserve">., 2020). Недостаток данных микроэлементов и витамина </w:t>
      </w:r>
      <w:r w:rsidRPr="00811019">
        <w:rPr>
          <w:sz w:val="28"/>
          <w:szCs w:val="28"/>
        </w:rPr>
        <w:t>D</w:t>
      </w:r>
      <w:r w:rsidRPr="00811019">
        <w:rPr>
          <w:sz w:val="28"/>
          <w:szCs w:val="28"/>
          <w:lang w:val="ru-RU"/>
        </w:rPr>
        <w:t xml:space="preserve"> коррелирует с повышением риска возникновения кариеса и снижением устойчивости зубной эмали к внешним негативным факторам, таким как кислоты и бактериальная активность (</w:t>
      </w:r>
      <w:r w:rsidRPr="00811019">
        <w:rPr>
          <w:sz w:val="28"/>
          <w:szCs w:val="28"/>
        </w:rPr>
        <w:t>Marshall</w:t>
      </w:r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et</w:t>
      </w:r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al</w:t>
      </w:r>
      <w:r w:rsidRPr="00811019">
        <w:rPr>
          <w:sz w:val="28"/>
          <w:szCs w:val="28"/>
          <w:lang w:val="ru-RU"/>
        </w:rPr>
        <w:t xml:space="preserve">., 2013; </w:t>
      </w:r>
      <w:proofErr w:type="spellStart"/>
      <w:r w:rsidRPr="00811019">
        <w:rPr>
          <w:sz w:val="28"/>
          <w:szCs w:val="28"/>
        </w:rPr>
        <w:t>Schroth</w:t>
      </w:r>
      <w:proofErr w:type="spellEnd"/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et</w:t>
      </w:r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al</w:t>
      </w:r>
      <w:r w:rsidRPr="00811019">
        <w:rPr>
          <w:sz w:val="28"/>
          <w:szCs w:val="28"/>
          <w:lang w:val="ru-RU"/>
        </w:rPr>
        <w:t>., 2020). В связи с этим особое внимание следует уделять формированию рационального питания детей и подростков, обеспечивающего оптимальное поступление указанных микроэлементов, что является одним из ключевых условий эффективной профилактики стоматологических заболеваний (</w:t>
      </w:r>
      <w:proofErr w:type="spellStart"/>
      <w:r w:rsidRPr="00811019">
        <w:rPr>
          <w:sz w:val="28"/>
          <w:szCs w:val="28"/>
        </w:rPr>
        <w:t>Hujoel</w:t>
      </w:r>
      <w:proofErr w:type="spellEnd"/>
      <w:r w:rsidRPr="00811019">
        <w:rPr>
          <w:sz w:val="28"/>
          <w:szCs w:val="28"/>
          <w:lang w:val="ru-RU"/>
        </w:rPr>
        <w:t xml:space="preserve">, 2013; </w:t>
      </w:r>
      <w:proofErr w:type="spellStart"/>
      <w:r w:rsidRPr="00811019">
        <w:rPr>
          <w:sz w:val="28"/>
          <w:szCs w:val="28"/>
        </w:rPr>
        <w:t>Botelho</w:t>
      </w:r>
      <w:proofErr w:type="spellEnd"/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et</w:t>
      </w:r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al</w:t>
      </w:r>
      <w:r w:rsidRPr="00811019">
        <w:rPr>
          <w:sz w:val="28"/>
          <w:szCs w:val="28"/>
          <w:lang w:val="ru-RU"/>
        </w:rPr>
        <w:t>., 2020).</w:t>
      </w:r>
      <w:r w:rsidR="0065644A">
        <w:rPr>
          <w:sz w:val="28"/>
          <w:szCs w:val="28"/>
          <w:lang w:val="ru-RU"/>
        </w:rPr>
        <w:br/>
      </w:r>
      <w:r w:rsidRPr="00811019">
        <w:rPr>
          <w:sz w:val="28"/>
          <w:szCs w:val="28"/>
          <w:lang w:val="ru-RU"/>
        </w:rPr>
        <w:br/>
        <w:t>В последние годы реализован ряд успешных профилактических программ, направленных на снижение распространенности стоматологических заболеваний у детей и подростков посредством изменения их пищевых привычек и ограничения потребления сахара. Например, в Великобритании с 2018 года действует национальная программа «</w:t>
      </w:r>
      <w:r w:rsidRPr="00811019">
        <w:rPr>
          <w:sz w:val="28"/>
          <w:szCs w:val="28"/>
        </w:rPr>
        <w:t>Sugar</w:t>
      </w:r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Smart</w:t>
      </w:r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UK</w:t>
      </w:r>
      <w:r w:rsidRPr="00811019">
        <w:rPr>
          <w:sz w:val="28"/>
          <w:szCs w:val="28"/>
          <w:lang w:val="ru-RU"/>
        </w:rPr>
        <w:t xml:space="preserve">», которая направлена на сокращение потребления сахара детьми школьного возраста путем повышения осведомленности родителей, введения образовательных </w:t>
      </w:r>
      <w:r w:rsidRPr="00811019">
        <w:rPr>
          <w:sz w:val="28"/>
          <w:szCs w:val="28"/>
          <w:lang w:val="ru-RU"/>
        </w:rPr>
        <w:lastRenderedPageBreak/>
        <w:t>уроков в школах и внедрения строгих стандартов питания в образовательных учреждениях (</w:t>
      </w:r>
      <w:r w:rsidRPr="00811019">
        <w:rPr>
          <w:sz w:val="28"/>
          <w:szCs w:val="28"/>
        </w:rPr>
        <w:t>Public</w:t>
      </w:r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Health</w:t>
      </w:r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England</w:t>
      </w:r>
      <w:r w:rsidRPr="00811019">
        <w:rPr>
          <w:sz w:val="28"/>
          <w:szCs w:val="28"/>
          <w:lang w:val="ru-RU"/>
        </w:rPr>
        <w:t>, 2019). Аналогичная стратегия была успешно внедрена в скандинавских странах, где в рамках национальной программы «</w:t>
      </w:r>
      <w:r w:rsidRPr="00811019">
        <w:rPr>
          <w:sz w:val="28"/>
          <w:szCs w:val="28"/>
        </w:rPr>
        <w:t>Nordic</w:t>
      </w:r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Nutrition</w:t>
      </w:r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Recommendations</w:t>
      </w:r>
      <w:r w:rsidRPr="00811019">
        <w:rPr>
          <w:sz w:val="28"/>
          <w:szCs w:val="28"/>
          <w:lang w:val="ru-RU"/>
        </w:rPr>
        <w:t>» введены обязательные рекомендации по ограничению сахаров в школьном и дошкольном питании, что позволило существенно сократить уровень стоматологических патологий среди детского населения (</w:t>
      </w:r>
      <w:r w:rsidRPr="00811019">
        <w:rPr>
          <w:sz w:val="28"/>
          <w:szCs w:val="28"/>
        </w:rPr>
        <w:t>Nordic</w:t>
      </w:r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Council</w:t>
      </w:r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of</w:t>
      </w:r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Ministers</w:t>
      </w:r>
      <w:r w:rsidRPr="00811019">
        <w:rPr>
          <w:sz w:val="28"/>
          <w:szCs w:val="28"/>
          <w:lang w:val="ru-RU"/>
        </w:rPr>
        <w:t>, 2023). В США программа Центров по контролю и профилактике заболеваний (</w:t>
      </w:r>
      <w:r w:rsidRPr="00811019">
        <w:rPr>
          <w:sz w:val="28"/>
          <w:szCs w:val="28"/>
        </w:rPr>
        <w:t>CDC</w:t>
      </w:r>
      <w:r w:rsidRPr="00811019">
        <w:rPr>
          <w:sz w:val="28"/>
          <w:szCs w:val="28"/>
          <w:lang w:val="ru-RU"/>
        </w:rPr>
        <w:t>) «</w:t>
      </w:r>
      <w:r w:rsidRPr="00811019">
        <w:rPr>
          <w:sz w:val="28"/>
          <w:szCs w:val="28"/>
        </w:rPr>
        <w:t>School</w:t>
      </w:r>
      <w:r w:rsidRPr="00811019">
        <w:rPr>
          <w:sz w:val="28"/>
          <w:szCs w:val="28"/>
          <w:lang w:val="ru-RU"/>
        </w:rPr>
        <w:t>-</w:t>
      </w:r>
      <w:r w:rsidRPr="00811019">
        <w:rPr>
          <w:sz w:val="28"/>
          <w:szCs w:val="28"/>
        </w:rPr>
        <w:t>Based</w:t>
      </w:r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Dental</w:t>
      </w:r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Sealant</w:t>
      </w:r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Programs</w:t>
      </w:r>
      <w:r w:rsidRPr="00811019">
        <w:rPr>
          <w:sz w:val="28"/>
          <w:szCs w:val="28"/>
          <w:lang w:val="ru-RU"/>
        </w:rPr>
        <w:t>» направлена на повышение информированности школьников и их родителей о влиянии питания на здоровье зубов, а также включает образовательные инициативы по пропаганде здорового питания, ограничению потребления сахара и укреплению гигиены полости рта, что значительно снизило уровень заболеваемости кариесом среди учащихся (</w:t>
      </w:r>
      <w:r w:rsidRPr="00811019">
        <w:rPr>
          <w:sz w:val="28"/>
          <w:szCs w:val="28"/>
        </w:rPr>
        <w:t>CDC</w:t>
      </w:r>
      <w:r w:rsidRPr="00811019">
        <w:rPr>
          <w:sz w:val="28"/>
          <w:szCs w:val="28"/>
          <w:lang w:val="ru-RU"/>
        </w:rPr>
        <w:t>, 2022). Всемирная организация здравоохранения также акцентирует внимание на необходимости комплексного подхода и предлагает глобальные руководства по внедрению подобных профилактических программ, подчеркивая эффективность ограничения потребления свободных сахаров в питании детей и подростков как ключевого фактора профилактики стоматологических заболеваний (</w:t>
      </w:r>
      <w:r w:rsidRPr="00811019">
        <w:rPr>
          <w:sz w:val="28"/>
          <w:szCs w:val="28"/>
        </w:rPr>
        <w:t>World</w:t>
      </w:r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Health</w:t>
      </w:r>
      <w:r w:rsidRPr="00811019">
        <w:rPr>
          <w:sz w:val="28"/>
          <w:szCs w:val="28"/>
          <w:lang w:val="ru-RU"/>
        </w:rPr>
        <w:t xml:space="preserve"> </w:t>
      </w:r>
      <w:r w:rsidRPr="00811019">
        <w:rPr>
          <w:sz w:val="28"/>
          <w:szCs w:val="28"/>
        </w:rPr>
        <w:t>Organization</w:t>
      </w:r>
      <w:r w:rsidRPr="00811019">
        <w:rPr>
          <w:sz w:val="28"/>
          <w:szCs w:val="28"/>
          <w:lang w:val="ru-RU"/>
        </w:rPr>
        <w:t xml:space="preserve">, 2022). </w:t>
      </w:r>
      <w:r w:rsidR="0065644A" w:rsidRPr="0065644A">
        <w:rPr>
          <w:sz w:val="28"/>
          <w:szCs w:val="28"/>
          <w:lang w:val="ru-RU"/>
        </w:rPr>
        <w:t>Таким образом, международный опыт подтверждает целесообразность использования профилактических стратегий, основанных на формировании правильных пищевых привычек, в целях улучшения состояния здоровья полости рта у детей и подростков.</w:t>
      </w:r>
      <w:r w:rsidRPr="00811019">
        <w:rPr>
          <w:sz w:val="28"/>
          <w:szCs w:val="28"/>
          <w:lang w:val="ru-RU"/>
        </w:rPr>
        <w:br/>
      </w:r>
      <w:r w:rsidR="00433ED0">
        <w:rPr>
          <w:sz w:val="28"/>
          <w:szCs w:val="28"/>
          <w:lang w:val="ru-RU"/>
        </w:rPr>
        <w:br/>
      </w:r>
    </w:p>
    <w:p w:rsidR="00DE05F9" w:rsidRPr="00DE05F9" w:rsidRDefault="00433ED0" w:rsidP="00E22255">
      <w:pPr>
        <w:pStyle w:val="a5"/>
        <w:rPr>
          <w:lang w:val="ru-RU"/>
        </w:rPr>
      </w:pPr>
      <w:r w:rsidRPr="00973EC2">
        <w:rPr>
          <w:sz w:val="28"/>
          <w:szCs w:val="28"/>
          <w:lang w:val="ru-RU"/>
        </w:rPr>
        <w:t xml:space="preserve">Формирование здоровых пищевых привычек с раннего возраста является одним из важнейших условий профилактики заболеваний полости рта и общего благополучия детей и подростков. В ежедневный рацион рекомендуется включать продукты, богатые микроэлементами и витаминами, в частности молочные продукты, зелёные листовые овощи, орехи и семена, </w:t>
      </w:r>
      <w:proofErr w:type="spellStart"/>
      <w:r w:rsidRPr="00973EC2">
        <w:rPr>
          <w:sz w:val="28"/>
          <w:szCs w:val="28"/>
          <w:lang w:val="ru-RU"/>
        </w:rPr>
        <w:t>цельнозерновые</w:t>
      </w:r>
      <w:proofErr w:type="spellEnd"/>
      <w:r w:rsidRPr="00973EC2">
        <w:rPr>
          <w:sz w:val="28"/>
          <w:szCs w:val="28"/>
          <w:lang w:val="ru-RU"/>
        </w:rPr>
        <w:t xml:space="preserve"> продукты, а также ягоды и фрукты (</w:t>
      </w:r>
      <w:proofErr w:type="spellStart"/>
      <w:r w:rsidRPr="00973EC2">
        <w:rPr>
          <w:sz w:val="28"/>
          <w:szCs w:val="28"/>
        </w:rPr>
        <w:t>Touger</w:t>
      </w:r>
      <w:proofErr w:type="spellEnd"/>
      <w:r w:rsidRPr="00973EC2">
        <w:rPr>
          <w:sz w:val="28"/>
          <w:szCs w:val="28"/>
          <w:lang w:val="ru-RU"/>
        </w:rPr>
        <w:t>-</w:t>
      </w:r>
      <w:r w:rsidRPr="00973EC2">
        <w:rPr>
          <w:sz w:val="28"/>
          <w:szCs w:val="28"/>
        </w:rPr>
        <w:t>Decker</w:t>
      </w:r>
      <w:r w:rsidRPr="00973EC2">
        <w:rPr>
          <w:sz w:val="28"/>
          <w:szCs w:val="28"/>
          <w:lang w:val="ru-RU"/>
        </w:rPr>
        <w:t xml:space="preserve"> &amp; </w:t>
      </w:r>
      <w:r w:rsidRPr="00973EC2">
        <w:rPr>
          <w:sz w:val="28"/>
          <w:szCs w:val="28"/>
        </w:rPr>
        <w:t>Mobley</w:t>
      </w:r>
      <w:r w:rsidRPr="00973EC2">
        <w:rPr>
          <w:sz w:val="28"/>
          <w:szCs w:val="28"/>
          <w:lang w:val="ru-RU"/>
        </w:rPr>
        <w:t xml:space="preserve">, 2019). Например, регулярное употребление молочных продуктов (сыра, йогурта) благодаря высокому содержанию кальция и казеина эффективно нейтрализует кислотную среду во рту и способствует </w:t>
      </w:r>
      <w:proofErr w:type="spellStart"/>
      <w:r w:rsidRPr="00973EC2">
        <w:rPr>
          <w:sz w:val="28"/>
          <w:szCs w:val="28"/>
          <w:lang w:val="ru-RU"/>
        </w:rPr>
        <w:t>реминерализации</w:t>
      </w:r>
      <w:proofErr w:type="spellEnd"/>
      <w:r w:rsidRPr="00973EC2">
        <w:rPr>
          <w:sz w:val="28"/>
          <w:szCs w:val="28"/>
          <w:lang w:val="ru-RU"/>
        </w:rPr>
        <w:t xml:space="preserve"> эмали (</w:t>
      </w:r>
      <w:proofErr w:type="spellStart"/>
      <w:r w:rsidRPr="00973EC2">
        <w:rPr>
          <w:sz w:val="28"/>
          <w:szCs w:val="28"/>
        </w:rPr>
        <w:t>Kashket</w:t>
      </w:r>
      <w:proofErr w:type="spellEnd"/>
      <w:r w:rsidRPr="00973EC2">
        <w:rPr>
          <w:sz w:val="28"/>
          <w:szCs w:val="28"/>
          <w:lang w:val="ru-RU"/>
        </w:rPr>
        <w:t xml:space="preserve"> &amp; </w:t>
      </w:r>
      <w:proofErr w:type="spellStart"/>
      <w:r w:rsidRPr="00973EC2">
        <w:rPr>
          <w:sz w:val="28"/>
          <w:szCs w:val="28"/>
        </w:rPr>
        <w:t>DePaola</w:t>
      </w:r>
      <w:proofErr w:type="spellEnd"/>
      <w:r w:rsidRPr="00973EC2">
        <w:rPr>
          <w:sz w:val="28"/>
          <w:szCs w:val="28"/>
          <w:lang w:val="ru-RU"/>
        </w:rPr>
        <w:t>, 2021). Свежие овощи и фрукты, богатые пищевыми волокнами и витамином С, улучшают здоровье дёсен и помогают удалять остатки пищи с поверхности зубов, тем самым защищая от бактериального налёта (</w:t>
      </w:r>
      <w:r w:rsidRPr="00973EC2">
        <w:rPr>
          <w:sz w:val="28"/>
          <w:szCs w:val="28"/>
        </w:rPr>
        <w:t>Moynihan</w:t>
      </w:r>
      <w:r w:rsidRPr="00973EC2">
        <w:rPr>
          <w:sz w:val="28"/>
          <w:szCs w:val="28"/>
          <w:lang w:val="ru-RU"/>
        </w:rPr>
        <w:t xml:space="preserve"> &amp; </w:t>
      </w:r>
      <w:r w:rsidRPr="00973EC2">
        <w:rPr>
          <w:sz w:val="28"/>
          <w:szCs w:val="28"/>
        </w:rPr>
        <w:t>Petersen</w:t>
      </w:r>
      <w:r w:rsidRPr="00973EC2">
        <w:rPr>
          <w:sz w:val="28"/>
          <w:szCs w:val="28"/>
          <w:lang w:val="ru-RU"/>
        </w:rPr>
        <w:t xml:space="preserve">, 2020). Согласно исследованиям последних лет, подростки, регулярно употребляющие продукты с высоким содержанием кальция, витамина </w:t>
      </w:r>
      <w:r w:rsidRPr="00973EC2">
        <w:rPr>
          <w:sz w:val="28"/>
          <w:szCs w:val="28"/>
        </w:rPr>
        <w:t>D</w:t>
      </w:r>
      <w:r w:rsidRPr="00973EC2">
        <w:rPr>
          <w:sz w:val="28"/>
          <w:szCs w:val="28"/>
          <w:lang w:val="ru-RU"/>
        </w:rPr>
        <w:t xml:space="preserve"> и пищевых волокон, имеют более низкие показатели кариеса и более здоровые зубы по сравнению с их сверстниками, придерживающимися менее сбалансированного рациона (</w:t>
      </w:r>
      <w:proofErr w:type="spellStart"/>
      <w:r w:rsidRPr="00973EC2">
        <w:rPr>
          <w:sz w:val="28"/>
          <w:szCs w:val="28"/>
        </w:rPr>
        <w:t>Schroth</w:t>
      </w:r>
      <w:proofErr w:type="spellEnd"/>
      <w:r w:rsidRPr="00973EC2">
        <w:rPr>
          <w:sz w:val="28"/>
          <w:szCs w:val="28"/>
          <w:lang w:val="ru-RU"/>
        </w:rPr>
        <w:t xml:space="preserve"> </w:t>
      </w:r>
      <w:r w:rsidRPr="00973EC2">
        <w:rPr>
          <w:sz w:val="28"/>
          <w:szCs w:val="28"/>
        </w:rPr>
        <w:t>et</w:t>
      </w:r>
      <w:r w:rsidRPr="00973EC2">
        <w:rPr>
          <w:sz w:val="28"/>
          <w:szCs w:val="28"/>
          <w:lang w:val="ru-RU"/>
        </w:rPr>
        <w:t xml:space="preserve"> </w:t>
      </w:r>
      <w:r w:rsidRPr="00973EC2">
        <w:rPr>
          <w:sz w:val="28"/>
          <w:szCs w:val="28"/>
        </w:rPr>
        <w:t>al</w:t>
      </w:r>
      <w:r w:rsidRPr="00973EC2">
        <w:rPr>
          <w:sz w:val="28"/>
          <w:szCs w:val="28"/>
          <w:lang w:val="ru-RU"/>
        </w:rPr>
        <w:t xml:space="preserve">., 2020; </w:t>
      </w:r>
      <w:proofErr w:type="spellStart"/>
      <w:r w:rsidRPr="00973EC2">
        <w:rPr>
          <w:sz w:val="28"/>
          <w:szCs w:val="28"/>
        </w:rPr>
        <w:t>Kashket</w:t>
      </w:r>
      <w:proofErr w:type="spellEnd"/>
      <w:r w:rsidRPr="00973EC2">
        <w:rPr>
          <w:sz w:val="28"/>
          <w:szCs w:val="28"/>
          <w:lang w:val="ru-RU"/>
        </w:rPr>
        <w:t xml:space="preserve"> &amp; </w:t>
      </w:r>
      <w:proofErr w:type="spellStart"/>
      <w:r w:rsidRPr="00973EC2">
        <w:rPr>
          <w:sz w:val="28"/>
          <w:szCs w:val="28"/>
        </w:rPr>
        <w:t>DePaola</w:t>
      </w:r>
      <w:proofErr w:type="spellEnd"/>
      <w:r w:rsidRPr="00973EC2">
        <w:rPr>
          <w:sz w:val="28"/>
          <w:szCs w:val="28"/>
          <w:lang w:val="ru-RU"/>
        </w:rPr>
        <w:t>, 2021).</w:t>
      </w:r>
      <w:r w:rsidRPr="00973EC2">
        <w:rPr>
          <w:sz w:val="28"/>
          <w:szCs w:val="28"/>
          <w:lang w:val="ru-RU"/>
        </w:rPr>
        <w:br/>
      </w:r>
      <w:r w:rsidRPr="00973EC2">
        <w:rPr>
          <w:sz w:val="28"/>
          <w:szCs w:val="28"/>
          <w:lang w:val="ru-RU"/>
        </w:rPr>
        <w:lastRenderedPageBreak/>
        <w:br/>
      </w:r>
      <w:r w:rsidRPr="00973EC2">
        <w:rPr>
          <w:sz w:val="28"/>
          <w:szCs w:val="28"/>
          <w:lang w:val="ru-RU"/>
        </w:rPr>
        <w:br/>
        <w:t>Эффективным методом профилактики стоматологических заболеваний у детей является постепенное снижение потребления сладких и кислотных напитков, а также сахара в целом. Родителям рекомендуется ограничивать наличие в доме газированных напитков, фруктовых соков и сладостей, заменяя их водой, несладкими чаями, или домашними напитками с минимальным содержанием сахара (</w:t>
      </w:r>
      <w:r w:rsidRPr="00973EC2">
        <w:rPr>
          <w:sz w:val="28"/>
          <w:szCs w:val="28"/>
        </w:rPr>
        <w:t>Evans</w:t>
      </w:r>
      <w:r w:rsidRPr="00973EC2">
        <w:rPr>
          <w:sz w:val="28"/>
          <w:szCs w:val="28"/>
          <w:lang w:val="ru-RU"/>
        </w:rPr>
        <w:t xml:space="preserve"> </w:t>
      </w:r>
      <w:r w:rsidRPr="00973EC2">
        <w:rPr>
          <w:sz w:val="28"/>
          <w:szCs w:val="28"/>
        </w:rPr>
        <w:t>et</w:t>
      </w:r>
      <w:r w:rsidRPr="00973EC2">
        <w:rPr>
          <w:sz w:val="28"/>
          <w:szCs w:val="28"/>
          <w:lang w:val="ru-RU"/>
        </w:rPr>
        <w:t xml:space="preserve"> </w:t>
      </w:r>
      <w:r w:rsidRPr="00973EC2">
        <w:rPr>
          <w:sz w:val="28"/>
          <w:szCs w:val="28"/>
        </w:rPr>
        <w:t>al</w:t>
      </w:r>
      <w:r w:rsidRPr="00973EC2">
        <w:rPr>
          <w:sz w:val="28"/>
          <w:szCs w:val="28"/>
          <w:lang w:val="ru-RU"/>
        </w:rPr>
        <w:t>., 2020). Исследования подтверждают, что простой метод, такой как сокращение частоты перекусов и замена вредных перекусов фруктами, сыром или орехами, значительно снижает уровень кислотной атаки на зубную эмаль и замедляет развитие кариеса (</w:t>
      </w:r>
      <w:proofErr w:type="spellStart"/>
      <w:r w:rsidRPr="00973EC2">
        <w:rPr>
          <w:sz w:val="28"/>
          <w:szCs w:val="28"/>
        </w:rPr>
        <w:t>Alsharif</w:t>
      </w:r>
      <w:proofErr w:type="spellEnd"/>
      <w:r w:rsidRPr="00973EC2">
        <w:rPr>
          <w:sz w:val="28"/>
          <w:szCs w:val="28"/>
          <w:lang w:val="ru-RU"/>
        </w:rPr>
        <w:t xml:space="preserve"> </w:t>
      </w:r>
      <w:r w:rsidRPr="00973EC2">
        <w:rPr>
          <w:sz w:val="28"/>
          <w:szCs w:val="28"/>
        </w:rPr>
        <w:t>et</w:t>
      </w:r>
      <w:r w:rsidRPr="00973EC2">
        <w:rPr>
          <w:sz w:val="28"/>
          <w:szCs w:val="28"/>
          <w:lang w:val="ru-RU"/>
        </w:rPr>
        <w:t xml:space="preserve"> </w:t>
      </w:r>
      <w:r w:rsidRPr="00973EC2">
        <w:rPr>
          <w:sz w:val="28"/>
          <w:szCs w:val="28"/>
        </w:rPr>
        <w:t>al</w:t>
      </w:r>
      <w:r w:rsidRPr="00973EC2">
        <w:rPr>
          <w:sz w:val="28"/>
          <w:szCs w:val="28"/>
          <w:lang w:val="ru-RU"/>
        </w:rPr>
        <w:t>., 2021). Установление чётких и последовательных правил относительно сладких перекусов и десертов помогает детям и подросткам формировать привычку сознательного потребления сладких продуктов, что в долгосрочной перспективе способствует укреплению стоматологического здоровья (</w:t>
      </w:r>
      <w:r w:rsidRPr="00973EC2">
        <w:rPr>
          <w:sz w:val="28"/>
          <w:szCs w:val="28"/>
        </w:rPr>
        <w:t>Evans</w:t>
      </w:r>
      <w:r w:rsidRPr="00973EC2">
        <w:rPr>
          <w:sz w:val="28"/>
          <w:szCs w:val="28"/>
          <w:lang w:val="ru-RU"/>
        </w:rPr>
        <w:t xml:space="preserve"> </w:t>
      </w:r>
      <w:r w:rsidRPr="00973EC2">
        <w:rPr>
          <w:sz w:val="28"/>
          <w:szCs w:val="28"/>
        </w:rPr>
        <w:t>et</w:t>
      </w:r>
      <w:r w:rsidRPr="00973EC2">
        <w:rPr>
          <w:sz w:val="28"/>
          <w:szCs w:val="28"/>
          <w:lang w:val="ru-RU"/>
        </w:rPr>
        <w:t xml:space="preserve"> </w:t>
      </w:r>
      <w:r w:rsidRPr="00973EC2">
        <w:rPr>
          <w:sz w:val="28"/>
          <w:szCs w:val="28"/>
        </w:rPr>
        <w:t>al</w:t>
      </w:r>
      <w:r w:rsidRPr="00973EC2">
        <w:rPr>
          <w:sz w:val="28"/>
          <w:szCs w:val="28"/>
          <w:lang w:val="ru-RU"/>
        </w:rPr>
        <w:t xml:space="preserve">., 2020; </w:t>
      </w:r>
      <w:r w:rsidRPr="00973EC2">
        <w:rPr>
          <w:sz w:val="28"/>
          <w:szCs w:val="28"/>
        </w:rPr>
        <w:t>Moynihan</w:t>
      </w:r>
      <w:r w:rsidRPr="00973EC2">
        <w:rPr>
          <w:sz w:val="28"/>
          <w:szCs w:val="28"/>
          <w:lang w:val="ru-RU"/>
        </w:rPr>
        <w:t xml:space="preserve"> &amp; </w:t>
      </w:r>
      <w:r w:rsidRPr="00973EC2">
        <w:rPr>
          <w:sz w:val="28"/>
          <w:szCs w:val="28"/>
        </w:rPr>
        <w:t>Petersen</w:t>
      </w:r>
      <w:r w:rsidRPr="00973EC2">
        <w:rPr>
          <w:sz w:val="28"/>
          <w:szCs w:val="28"/>
          <w:lang w:val="ru-RU"/>
        </w:rPr>
        <w:t>, 2020).</w:t>
      </w:r>
      <w:r w:rsidRPr="00973EC2">
        <w:rPr>
          <w:sz w:val="28"/>
          <w:szCs w:val="28"/>
          <w:lang w:val="ru-RU"/>
        </w:rPr>
        <w:br/>
      </w:r>
      <w:r w:rsidRPr="00973EC2">
        <w:rPr>
          <w:sz w:val="28"/>
          <w:szCs w:val="28"/>
          <w:lang w:val="ru-RU"/>
        </w:rPr>
        <w:br/>
        <w:t>Стоматологи рекомендуют детям и подросткам чистить зубы дважды в день в течение не менее двух минут с использованием зубных паст, содержащих фториды, что доказало свою эффективность в профилактике кариеса (</w:t>
      </w:r>
      <w:r w:rsidRPr="00973EC2">
        <w:rPr>
          <w:sz w:val="28"/>
          <w:szCs w:val="28"/>
        </w:rPr>
        <w:t>American</w:t>
      </w:r>
      <w:r w:rsidRPr="00973EC2">
        <w:rPr>
          <w:sz w:val="28"/>
          <w:szCs w:val="28"/>
          <w:lang w:val="ru-RU"/>
        </w:rPr>
        <w:t xml:space="preserve"> </w:t>
      </w:r>
      <w:r w:rsidRPr="00973EC2">
        <w:rPr>
          <w:sz w:val="28"/>
          <w:szCs w:val="28"/>
        </w:rPr>
        <w:t>Dental</w:t>
      </w:r>
      <w:r w:rsidRPr="00973EC2">
        <w:rPr>
          <w:sz w:val="28"/>
          <w:szCs w:val="28"/>
          <w:lang w:val="ru-RU"/>
        </w:rPr>
        <w:t xml:space="preserve"> </w:t>
      </w:r>
      <w:r w:rsidRPr="00973EC2">
        <w:rPr>
          <w:sz w:val="28"/>
          <w:szCs w:val="28"/>
        </w:rPr>
        <w:t>Association</w:t>
      </w:r>
      <w:r w:rsidRPr="00973EC2">
        <w:rPr>
          <w:sz w:val="28"/>
          <w:szCs w:val="28"/>
          <w:lang w:val="ru-RU"/>
        </w:rPr>
        <w:t>, 2021). Регулярное использование зубной нити или межзубных ёршиков помогает удалять остатки пищи из межзубных промежутков, где наиболее часто начинается развитие кариеса (</w:t>
      </w:r>
      <w:r w:rsidRPr="00973EC2">
        <w:rPr>
          <w:sz w:val="28"/>
          <w:szCs w:val="28"/>
        </w:rPr>
        <w:t>Kumar</w:t>
      </w:r>
      <w:r w:rsidRPr="00973EC2">
        <w:rPr>
          <w:sz w:val="28"/>
          <w:szCs w:val="28"/>
          <w:lang w:val="ru-RU"/>
        </w:rPr>
        <w:t xml:space="preserve"> </w:t>
      </w:r>
      <w:r w:rsidRPr="00973EC2">
        <w:rPr>
          <w:sz w:val="28"/>
          <w:szCs w:val="28"/>
        </w:rPr>
        <w:t>et</w:t>
      </w:r>
      <w:r w:rsidRPr="00973EC2">
        <w:rPr>
          <w:sz w:val="28"/>
          <w:szCs w:val="28"/>
          <w:lang w:val="ru-RU"/>
        </w:rPr>
        <w:t xml:space="preserve"> </w:t>
      </w:r>
      <w:r w:rsidRPr="00973EC2">
        <w:rPr>
          <w:sz w:val="28"/>
          <w:szCs w:val="28"/>
        </w:rPr>
        <w:t>al</w:t>
      </w:r>
      <w:r w:rsidRPr="00973EC2">
        <w:rPr>
          <w:sz w:val="28"/>
          <w:szCs w:val="28"/>
          <w:lang w:val="ru-RU"/>
        </w:rPr>
        <w:t>., 2021). Дополнительно использование ополаскивателей для полости рта, особенно содержащих фтор или антисептические компоненты, является эффективным средством для уменьшения бактериального налёта и профилактики заболеваний дёсен (</w:t>
      </w:r>
      <w:r w:rsidRPr="00973EC2">
        <w:rPr>
          <w:sz w:val="28"/>
          <w:szCs w:val="28"/>
        </w:rPr>
        <w:t>Walsh</w:t>
      </w:r>
      <w:r w:rsidRPr="00973EC2">
        <w:rPr>
          <w:sz w:val="28"/>
          <w:szCs w:val="28"/>
          <w:lang w:val="ru-RU"/>
        </w:rPr>
        <w:t xml:space="preserve"> &amp; </w:t>
      </w:r>
      <w:proofErr w:type="spellStart"/>
      <w:r w:rsidRPr="00973EC2">
        <w:rPr>
          <w:sz w:val="28"/>
          <w:szCs w:val="28"/>
        </w:rPr>
        <w:t>Glenwright</w:t>
      </w:r>
      <w:proofErr w:type="spellEnd"/>
      <w:r w:rsidRPr="00973EC2">
        <w:rPr>
          <w:sz w:val="28"/>
          <w:szCs w:val="28"/>
          <w:lang w:val="ru-RU"/>
        </w:rPr>
        <w:t>, 2022). Помимо ежедневного ухода дома, стоматологи настоятельно рекомендуют детям и подросткам посещать профилактические осмотры не реже двух раз в год, что позволяет своевременно выявлять и лечить начальные стадии заболеваний (</w:t>
      </w:r>
      <w:r w:rsidRPr="00973EC2">
        <w:rPr>
          <w:sz w:val="28"/>
          <w:szCs w:val="28"/>
        </w:rPr>
        <w:t>American</w:t>
      </w:r>
      <w:r w:rsidRPr="00973EC2">
        <w:rPr>
          <w:sz w:val="28"/>
          <w:szCs w:val="28"/>
          <w:lang w:val="ru-RU"/>
        </w:rPr>
        <w:t xml:space="preserve"> </w:t>
      </w:r>
      <w:r w:rsidRPr="00973EC2">
        <w:rPr>
          <w:sz w:val="28"/>
          <w:szCs w:val="28"/>
        </w:rPr>
        <w:t>Dental</w:t>
      </w:r>
      <w:r w:rsidRPr="00973EC2">
        <w:rPr>
          <w:sz w:val="28"/>
          <w:szCs w:val="28"/>
          <w:lang w:val="ru-RU"/>
        </w:rPr>
        <w:t xml:space="preserve"> </w:t>
      </w:r>
      <w:r w:rsidRPr="00973EC2">
        <w:rPr>
          <w:sz w:val="28"/>
          <w:szCs w:val="28"/>
        </w:rPr>
        <w:t>Association</w:t>
      </w:r>
      <w:r w:rsidRPr="00973EC2">
        <w:rPr>
          <w:sz w:val="28"/>
          <w:szCs w:val="28"/>
          <w:lang w:val="ru-RU"/>
        </w:rPr>
        <w:t xml:space="preserve">, 2021; </w:t>
      </w:r>
      <w:r w:rsidRPr="00973EC2">
        <w:rPr>
          <w:sz w:val="28"/>
          <w:szCs w:val="28"/>
        </w:rPr>
        <w:t>Kumar</w:t>
      </w:r>
      <w:r w:rsidRPr="00973EC2">
        <w:rPr>
          <w:sz w:val="28"/>
          <w:szCs w:val="28"/>
          <w:lang w:val="ru-RU"/>
        </w:rPr>
        <w:t xml:space="preserve"> </w:t>
      </w:r>
      <w:r w:rsidRPr="00973EC2">
        <w:rPr>
          <w:sz w:val="28"/>
          <w:szCs w:val="28"/>
        </w:rPr>
        <w:t>et</w:t>
      </w:r>
      <w:r w:rsidRPr="00973EC2">
        <w:rPr>
          <w:sz w:val="28"/>
          <w:szCs w:val="28"/>
          <w:lang w:val="ru-RU"/>
        </w:rPr>
        <w:t xml:space="preserve"> </w:t>
      </w:r>
      <w:r w:rsidRPr="00973EC2">
        <w:rPr>
          <w:sz w:val="28"/>
          <w:szCs w:val="28"/>
        </w:rPr>
        <w:t>al</w:t>
      </w:r>
      <w:r w:rsidRPr="00973EC2">
        <w:rPr>
          <w:sz w:val="28"/>
          <w:szCs w:val="28"/>
          <w:lang w:val="ru-RU"/>
        </w:rPr>
        <w:t>., 2021).</w:t>
      </w:r>
      <w:r w:rsidRPr="00973EC2">
        <w:rPr>
          <w:sz w:val="28"/>
          <w:szCs w:val="28"/>
          <w:lang w:val="ru-RU"/>
        </w:rPr>
        <w:br/>
      </w:r>
      <w:r w:rsidRPr="00973EC2">
        <w:rPr>
          <w:sz w:val="28"/>
          <w:szCs w:val="28"/>
          <w:lang w:val="ru-RU"/>
        </w:rPr>
        <w:br/>
        <w:t>Одним из эффективных способов профилактики стоматологических заболеваний у детей и подростков является интеграция образовательных программ в школьную и внешкольную среду. Например, в Канаде успешно реализуется программа «</w:t>
      </w:r>
      <w:r w:rsidRPr="00973EC2">
        <w:rPr>
          <w:sz w:val="28"/>
          <w:szCs w:val="28"/>
        </w:rPr>
        <w:t>Bright</w:t>
      </w:r>
      <w:r w:rsidRPr="00973EC2">
        <w:rPr>
          <w:sz w:val="28"/>
          <w:szCs w:val="28"/>
          <w:lang w:val="ru-RU"/>
        </w:rPr>
        <w:t xml:space="preserve"> </w:t>
      </w:r>
      <w:r w:rsidRPr="00973EC2">
        <w:rPr>
          <w:sz w:val="28"/>
          <w:szCs w:val="28"/>
        </w:rPr>
        <w:t>Smiles</w:t>
      </w:r>
      <w:r w:rsidRPr="00973EC2">
        <w:rPr>
          <w:sz w:val="28"/>
          <w:szCs w:val="28"/>
          <w:lang w:val="ru-RU"/>
        </w:rPr>
        <w:t>», где специалисты проводят интерактивные занятия и игры по гигиене полости рта и правильному питанию, что доказало значительное улучшение стоматологического здоровья участников (</w:t>
      </w:r>
      <w:r w:rsidRPr="00973EC2">
        <w:rPr>
          <w:sz w:val="28"/>
          <w:szCs w:val="28"/>
        </w:rPr>
        <w:t>Health</w:t>
      </w:r>
      <w:r w:rsidRPr="00973EC2">
        <w:rPr>
          <w:sz w:val="28"/>
          <w:szCs w:val="28"/>
          <w:lang w:val="ru-RU"/>
        </w:rPr>
        <w:t xml:space="preserve"> </w:t>
      </w:r>
      <w:r w:rsidRPr="00973EC2">
        <w:rPr>
          <w:sz w:val="28"/>
          <w:szCs w:val="28"/>
        </w:rPr>
        <w:t>Canada</w:t>
      </w:r>
      <w:r w:rsidRPr="00973EC2">
        <w:rPr>
          <w:sz w:val="28"/>
          <w:szCs w:val="28"/>
          <w:lang w:val="ru-RU"/>
        </w:rPr>
        <w:t xml:space="preserve">, 2020). Подобные программы активно реализуются в Австралии и США, где используются специально разработанные образовательные приложения и интерактивные онлайн-платформы, способствующие формированию полезных пищевых и гигиенических привычек у детей и </w:t>
      </w:r>
      <w:r w:rsidRPr="00973EC2">
        <w:rPr>
          <w:sz w:val="28"/>
          <w:szCs w:val="28"/>
          <w:lang w:val="ru-RU"/>
        </w:rPr>
        <w:lastRenderedPageBreak/>
        <w:t>подростков (</w:t>
      </w:r>
      <w:r w:rsidRPr="00973EC2">
        <w:rPr>
          <w:sz w:val="28"/>
          <w:szCs w:val="28"/>
        </w:rPr>
        <w:t>CDC</w:t>
      </w:r>
      <w:r w:rsidRPr="00973EC2">
        <w:rPr>
          <w:sz w:val="28"/>
          <w:szCs w:val="28"/>
          <w:lang w:val="ru-RU"/>
        </w:rPr>
        <w:t xml:space="preserve">, 2022; </w:t>
      </w:r>
      <w:r w:rsidRPr="00973EC2">
        <w:rPr>
          <w:sz w:val="28"/>
          <w:szCs w:val="28"/>
        </w:rPr>
        <w:t>Walsh</w:t>
      </w:r>
      <w:r w:rsidRPr="00973EC2">
        <w:rPr>
          <w:sz w:val="28"/>
          <w:szCs w:val="28"/>
          <w:lang w:val="ru-RU"/>
        </w:rPr>
        <w:t xml:space="preserve"> &amp; </w:t>
      </w:r>
      <w:proofErr w:type="spellStart"/>
      <w:r w:rsidRPr="00973EC2">
        <w:rPr>
          <w:sz w:val="28"/>
          <w:szCs w:val="28"/>
        </w:rPr>
        <w:t>Glenwright</w:t>
      </w:r>
      <w:proofErr w:type="spellEnd"/>
      <w:r w:rsidRPr="00973EC2">
        <w:rPr>
          <w:sz w:val="28"/>
          <w:szCs w:val="28"/>
          <w:lang w:val="ru-RU"/>
        </w:rPr>
        <w:t>, 2022). Дополнительно, создание информативных буклетов и визуальных материалов, распространение их среди родителей и учащихся, значительно повышает осведомлённость населения о рисках, связанных с неправильным питанием, и улучшает показатели стоматологического здоровья в долгосрочной перспективе (</w:t>
      </w:r>
      <w:r w:rsidRPr="00973EC2">
        <w:rPr>
          <w:sz w:val="28"/>
          <w:szCs w:val="28"/>
        </w:rPr>
        <w:t>World</w:t>
      </w:r>
      <w:r w:rsidRPr="00973EC2">
        <w:rPr>
          <w:sz w:val="28"/>
          <w:szCs w:val="28"/>
          <w:lang w:val="ru-RU"/>
        </w:rPr>
        <w:t xml:space="preserve"> </w:t>
      </w:r>
      <w:r w:rsidRPr="00973EC2">
        <w:rPr>
          <w:sz w:val="28"/>
          <w:szCs w:val="28"/>
        </w:rPr>
        <w:t>Health</w:t>
      </w:r>
      <w:r w:rsidRPr="00973EC2">
        <w:rPr>
          <w:sz w:val="28"/>
          <w:szCs w:val="28"/>
          <w:lang w:val="ru-RU"/>
        </w:rPr>
        <w:t xml:space="preserve"> </w:t>
      </w:r>
      <w:r w:rsidRPr="00973EC2">
        <w:rPr>
          <w:sz w:val="28"/>
          <w:szCs w:val="28"/>
        </w:rPr>
        <w:t>Organization</w:t>
      </w:r>
      <w:r w:rsidRPr="00973EC2">
        <w:rPr>
          <w:sz w:val="28"/>
          <w:szCs w:val="28"/>
          <w:lang w:val="ru-RU"/>
        </w:rPr>
        <w:t>, 2022).</w:t>
      </w:r>
      <w:r w:rsidR="00DE05F9">
        <w:rPr>
          <w:sz w:val="28"/>
          <w:szCs w:val="28"/>
          <w:lang w:val="ru-RU"/>
        </w:rPr>
        <w:br/>
      </w:r>
    </w:p>
    <w:p w:rsidR="00DE05F9" w:rsidRPr="00F652A4" w:rsidRDefault="00DE05F9" w:rsidP="00DE05F9">
      <w:pPr>
        <w:pStyle w:val="a5"/>
        <w:rPr>
          <w:lang w:val="ru-RU"/>
        </w:rPr>
      </w:pPr>
    </w:p>
    <w:p w:rsidR="00CC559E" w:rsidRDefault="00CC559E" w:rsidP="00E54594">
      <w:pPr>
        <w:pStyle w:val="a5"/>
        <w:rPr>
          <w:sz w:val="28"/>
          <w:szCs w:val="28"/>
          <w:lang w:val="ru-RU"/>
        </w:rPr>
      </w:pPr>
    </w:p>
    <w:p w:rsidR="00CC559E" w:rsidRDefault="00CC559E" w:rsidP="00E54594">
      <w:pPr>
        <w:pStyle w:val="a5"/>
        <w:rPr>
          <w:sz w:val="28"/>
          <w:szCs w:val="28"/>
          <w:lang w:val="ru-RU"/>
        </w:rPr>
      </w:pP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855"/>
        <w:gridCol w:w="1547"/>
        <w:gridCol w:w="707"/>
        <w:gridCol w:w="1532"/>
        <w:gridCol w:w="1163"/>
        <w:gridCol w:w="2410"/>
      </w:tblGrid>
      <w:tr w:rsidR="00DE05F9" w:rsidTr="00E22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C559E" w:rsidRPr="00CC559E" w:rsidRDefault="00CC559E" w:rsidP="00E54594">
            <w:pPr>
              <w:pStyle w:val="a5"/>
              <w:rPr>
                <w:b w:val="0"/>
                <w:sz w:val="32"/>
                <w:szCs w:val="28"/>
                <w:lang w:val="ru-RU"/>
              </w:rPr>
            </w:pPr>
            <w:r>
              <w:t>№</w:t>
            </w:r>
          </w:p>
        </w:tc>
        <w:tc>
          <w:tcPr>
            <w:tcW w:w="1855" w:type="dxa"/>
          </w:tcPr>
          <w:p w:rsidR="00CC559E" w:rsidRPr="00CC559E" w:rsidRDefault="00CC559E" w:rsidP="00E54594">
            <w:pPr>
              <w:pStyle w:val="a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28"/>
                <w:lang w:val="ru-RU"/>
              </w:rPr>
            </w:pPr>
            <w:proofErr w:type="spellStart"/>
            <w:r>
              <w:t>Категория</w:t>
            </w:r>
            <w:proofErr w:type="spellEnd"/>
            <w:r>
              <w:t xml:space="preserve"> </w:t>
            </w:r>
            <w:proofErr w:type="spellStart"/>
            <w:r>
              <w:t>продукта</w:t>
            </w:r>
            <w:proofErr w:type="spellEnd"/>
          </w:p>
        </w:tc>
        <w:tc>
          <w:tcPr>
            <w:tcW w:w="1547" w:type="dxa"/>
          </w:tcPr>
          <w:p w:rsidR="00CC559E" w:rsidRPr="00CC559E" w:rsidRDefault="00CC559E" w:rsidP="00E54594">
            <w:pPr>
              <w:pStyle w:val="a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28"/>
                <w:lang w:val="ru-RU"/>
              </w:rPr>
            </w:pP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продукта</w:t>
            </w:r>
            <w:proofErr w:type="spellEnd"/>
          </w:p>
        </w:tc>
        <w:tc>
          <w:tcPr>
            <w:tcW w:w="707" w:type="dxa"/>
          </w:tcPr>
          <w:p w:rsidR="00CC559E" w:rsidRPr="00CC559E" w:rsidRDefault="00DE05F9" w:rsidP="00E54594">
            <w:pPr>
              <w:pStyle w:val="a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28"/>
                <w:lang w:val="ru-RU"/>
              </w:rPr>
            </w:pPr>
            <w:r>
              <w:t>pH</w:t>
            </w:r>
          </w:p>
        </w:tc>
        <w:tc>
          <w:tcPr>
            <w:tcW w:w="1532" w:type="dxa"/>
          </w:tcPr>
          <w:p w:rsidR="00CC559E" w:rsidRPr="00DE05F9" w:rsidRDefault="00DE05F9" w:rsidP="00E54594">
            <w:pPr>
              <w:pStyle w:val="a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 w:rsidRPr="00DE05F9">
              <w:rPr>
                <w:lang w:val="ru-RU"/>
              </w:rPr>
              <w:t>Содеражние</w:t>
            </w:r>
            <w:proofErr w:type="spellEnd"/>
            <w:r w:rsidRPr="00DE05F9">
              <w:rPr>
                <w:lang w:val="ru-RU"/>
              </w:rPr>
              <w:t xml:space="preserve"> сахара</w:t>
            </w:r>
            <w:r>
              <w:rPr>
                <w:lang w:val="ru-RU"/>
              </w:rPr>
              <w:t xml:space="preserve"> (г на 100 мл/г)</w:t>
            </w:r>
          </w:p>
        </w:tc>
        <w:tc>
          <w:tcPr>
            <w:tcW w:w="1163" w:type="dxa"/>
          </w:tcPr>
          <w:p w:rsidR="00CC559E" w:rsidRPr="00DE05F9" w:rsidRDefault="00DE05F9" w:rsidP="00E54594">
            <w:pPr>
              <w:pStyle w:val="a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E05F9">
              <w:rPr>
                <w:lang w:val="ru-RU"/>
              </w:rPr>
              <w:t>Частота потребления %</w:t>
            </w:r>
          </w:p>
        </w:tc>
        <w:tc>
          <w:tcPr>
            <w:tcW w:w="2410" w:type="dxa"/>
          </w:tcPr>
          <w:p w:rsidR="00CC559E" w:rsidRPr="00DE05F9" w:rsidRDefault="00DE05F9" w:rsidP="00E54594">
            <w:pPr>
              <w:pStyle w:val="a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E05F9">
              <w:rPr>
                <w:lang w:val="ru-RU"/>
              </w:rPr>
              <w:t>Потенциальное влияние на зубы</w:t>
            </w:r>
          </w:p>
        </w:tc>
      </w:tr>
      <w:tr w:rsidR="00DE05F9" w:rsidRPr="00F652A4" w:rsidTr="00E2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C559E" w:rsidRDefault="00DE05F9" w:rsidP="00E54594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855" w:type="dxa"/>
          </w:tcPr>
          <w:p w:rsidR="00CC559E" w:rsidRPr="00E22255" w:rsidRDefault="00E22255" w:rsidP="00E22255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22255">
              <w:rPr>
                <w:lang w:val="ru-RU"/>
              </w:rPr>
              <w:t>Газированный напиток</w:t>
            </w:r>
          </w:p>
        </w:tc>
        <w:tc>
          <w:tcPr>
            <w:tcW w:w="1547" w:type="dxa"/>
          </w:tcPr>
          <w:p w:rsidR="00CC559E" w:rsidRDefault="00E22255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Coca-Cola</w:t>
            </w:r>
          </w:p>
        </w:tc>
        <w:tc>
          <w:tcPr>
            <w:tcW w:w="707" w:type="dxa"/>
          </w:tcPr>
          <w:p w:rsidR="00CC559E" w:rsidRDefault="00E22255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2.5</w:t>
            </w:r>
          </w:p>
        </w:tc>
        <w:tc>
          <w:tcPr>
            <w:tcW w:w="1532" w:type="dxa"/>
          </w:tcPr>
          <w:p w:rsidR="00CC559E" w:rsidRDefault="00E22255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10.6</w:t>
            </w:r>
          </w:p>
        </w:tc>
        <w:tc>
          <w:tcPr>
            <w:tcW w:w="116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"/>
            </w:tblGrid>
            <w:tr w:rsidR="00151626" w:rsidRPr="00151626" w:rsidTr="00151626">
              <w:trPr>
                <w:tblCellSpacing w:w="15" w:type="dxa"/>
              </w:trPr>
              <w:tc>
                <w:tcPr>
                  <w:tcW w:w="470" w:type="dxa"/>
                  <w:vAlign w:val="center"/>
                  <w:hideMark/>
                </w:tcPr>
                <w:p w:rsidR="00151626" w:rsidRPr="00151626" w:rsidRDefault="00151626" w:rsidP="001516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65%</w:t>
                  </w:r>
                </w:p>
              </w:tc>
            </w:tr>
          </w:tbl>
          <w:p w:rsidR="00151626" w:rsidRPr="00151626" w:rsidRDefault="00151626" w:rsidP="00151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151626" w:rsidRPr="00151626" w:rsidTr="00151626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151626" w:rsidRPr="00151626" w:rsidRDefault="00151626" w:rsidP="001516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559E" w:rsidRDefault="00CC559E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CC559E" w:rsidRPr="00DE05F9" w:rsidRDefault="00DE05F9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DE05F9">
              <w:rPr>
                <w:lang w:val="ru-RU"/>
              </w:rPr>
              <w:t xml:space="preserve">Высокий риск кариеса и эрозии эмали (низкий </w:t>
            </w:r>
            <w:r>
              <w:t>pH</w:t>
            </w:r>
            <w:r w:rsidRPr="00DE05F9">
              <w:rPr>
                <w:lang w:val="ru-RU"/>
              </w:rPr>
              <w:t>, много сахара)</w:t>
            </w:r>
          </w:p>
        </w:tc>
      </w:tr>
      <w:tr w:rsidR="00DE05F9" w:rsidRPr="00F652A4" w:rsidTr="00E2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C559E" w:rsidRDefault="00DE05F9" w:rsidP="00E54594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1855" w:type="dxa"/>
          </w:tcPr>
          <w:p w:rsidR="00E22255" w:rsidRPr="00E22255" w:rsidRDefault="00E22255" w:rsidP="00E22255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22255">
              <w:rPr>
                <w:lang w:val="ru-RU"/>
              </w:rPr>
              <w:t>Энергетический напиток</w:t>
            </w:r>
          </w:p>
          <w:p w:rsidR="00CC559E" w:rsidRDefault="00CC559E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1547" w:type="dxa"/>
          </w:tcPr>
          <w:p w:rsidR="00E22255" w:rsidRDefault="00E22255" w:rsidP="00E22255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 Bull</w:t>
            </w:r>
          </w:p>
          <w:p w:rsidR="00CC559E" w:rsidRDefault="00CC559E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CC559E" w:rsidRDefault="00E22255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3.3</w:t>
            </w:r>
          </w:p>
        </w:tc>
        <w:tc>
          <w:tcPr>
            <w:tcW w:w="1532" w:type="dxa"/>
          </w:tcPr>
          <w:p w:rsidR="00CC559E" w:rsidRDefault="00E22255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11.0</w:t>
            </w:r>
          </w:p>
        </w:tc>
        <w:tc>
          <w:tcPr>
            <w:tcW w:w="1163" w:type="dxa"/>
          </w:tcPr>
          <w:p w:rsidR="00CC559E" w:rsidRDefault="00151626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48%</w:t>
            </w:r>
          </w:p>
        </w:tc>
        <w:tc>
          <w:tcPr>
            <w:tcW w:w="2410" w:type="dxa"/>
          </w:tcPr>
          <w:p w:rsidR="00CC559E" w:rsidRPr="00DE05F9" w:rsidRDefault="00DE05F9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DE05F9">
              <w:rPr>
                <w:lang w:val="ru-RU"/>
              </w:rPr>
              <w:t>Высокий риск эрозии эмали и кариеса (кислота, сахар)</w:t>
            </w:r>
          </w:p>
        </w:tc>
      </w:tr>
      <w:tr w:rsidR="00DE05F9" w:rsidRPr="00F652A4" w:rsidTr="00E2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C559E" w:rsidRDefault="00DE05F9" w:rsidP="00E54594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1855" w:type="dxa"/>
          </w:tcPr>
          <w:p w:rsidR="00E22255" w:rsidRPr="00E22255" w:rsidRDefault="00E22255" w:rsidP="00E22255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22255">
              <w:rPr>
                <w:lang w:val="ru-RU"/>
              </w:rPr>
              <w:t>Сок фруктовый</w:t>
            </w:r>
          </w:p>
          <w:p w:rsidR="00CC559E" w:rsidRDefault="00CC559E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1547" w:type="dxa"/>
          </w:tcPr>
          <w:p w:rsidR="00E22255" w:rsidRDefault="00E22255" w:rsidP="00E22255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Апельсиновый</w:t>
            </w:r>
            <w:proofErr w:type="spellEnd"/>
            <w:r>
              <w:t xml:space="preserve"> </w:t>
            </w:r>
            <w:proofErr w:type="spellStart"/>
            <w:r>
              <w:t>сок</w:t>
            </w:r>
            <w:proofErr w:type="spellEnd"/>
          </w:p>
          <w:p w:rsidR="00CC559E" w:rsidRDefault="00CC559E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CC559E" w:rsidRPr="00E22255" w:rsidRDefault="00E22255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3.</w:t>
            </w:r>
            <w:r>
              <w:rPr>
                <w:lang w:val="ru-RU"/>
              </w:rPr>
              <w:t>5</w:t>
            </w:r>
          </w:p>
        </w:tc>
        <w:tc>
          <w:tcPr>
            <w:tcW w:w="1532" w:type="dxa"/>
          </w:tcPr>
          <w:p w:rsidR="00CC559E" w:rsidRDefault="00E22255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8.5</w:t>
            </w:r>
          </w:p>
        </w:tc>
        <w:tc>
          <w:tcPr>
            <w:tcW w:w="1163" w:type="dxa"/>
          </w:tcPr>
          <w:p w:rsidR="00CC559E" w:rsidRDefault="00151626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56%</w:t>
            </w:r>
          </w:p>
        </w:tc>
        <w:tc>
          <w:tcPr>
            <w:tcW w:w="2410" w:type="dxa"/>
          </w:tcPr>
          <w:p w:rsidR="00CC559E" w:rsidRPr="00DE05F9" w:rsidRDefault="00DE05F9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DE05F9">
              <w:rPr>
                <w:lang w:val="ru-RU"/>
              </w:rPr>
              <w:t>Умеренный риск эрозии эмали (фруктовые кислоты) и кариеса (сахар)</w:t>
            </w:r>
          </w:p>
        </w:tc>
      </w:tr>
      <w:tr w:rsidR="00DE05F9" w:rsidRPr="00F652A4" w:rsidTr="00E2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C559E" w:rsidRDefault="00DE05F9" w:rsidP="00E54594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1855" w:type="dxa"/>
          </w:tcPr>
          <w:p w:rsidR="00E22255" w:rsidRPr="00E22255" w:rsidRDefault="00E22255" w:rsidP="00E22255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22255">
              <w:rPr>
                <w:lang w:val="ru-RU"/>
              </w:rPr>
              <w:t>Чай в бутылке</w:t>
            </w:r>
          </w:p>
          <w:p w:rsidR="00CC559E" w:rsidRDefault="00CC559E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1547" w:type="dxa"/>
          </w:tcPr>
          <w:p w:rsidR="00E22255" w:rsidRDefault="00E22255" w:rsidP="00E22255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Lipton Ice Tea</w:t>
            </w:r>
          </w:p>
          <w:p w:rsidR="00CC559E" w:rsidRDefault="00CC559E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CC559E" w:rsidRDefault="00E22255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4.0</w:t>
            </w:r>
          </w:p>
        </w:tc>
        <w:tc>
          <w:tcPr>
            <w:tcW w:w="1532" w:type="dxa"/>
          </w:tcPr>
          <w:p w:rsidR="00CC559E" w:rsidRDefault="00E22255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7.0</w:t>
            </w:r>
          </w:p>
        </w:tc>
        <w:tc>
          <w:tcPr>
            <w:tcW w:w="1163" w:type="dxa"/>
          </w:tcPr>
          <w:p w:rsidR="00CC559E" w:rsidRDefault="00151626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52%</w:t>
            </w:r>
          </w:p>
        </w:tc>
        <w:tc>
          <w:tcPr>
            <w:tcW w:w="2410" w:type="dxa"/>
          </w:tcPr>
          <w:p w:rsidR="00CC559E" w:rsidRPr="00DE05F9" w:rsidRDefault="00DE05F9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DE05F9">
              <w:rPr>
                <w:lang w:val="ru-RU"/>
              </w:rPr>
              <w:t>Умеренный риск кариеса (сахар), средний риск эрозии эмали</w:t>
            </w:r>
          </w:p>
        </w:tc>
      </w:tr>
      <w:tr w:rsidR="00DE05F9" w:rsidRPr="00F652A4" w:rsidTr="00E2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C559E" w:rsidRDefault="00DE05F9" w:rsidP="00E54594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1855" w:type="dxa"/>
          </w:tcPr>
          <w:p w:rsidR="00E22255" w:rsidRPr="00E22255" w:rsidRDefault="00E22255" w:rsidP="00E22255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22255">
              <w:rPr>
                <w:lang w:val="ru-RU"/>
              </w:rPr>
              <w:t>Шоколадный батончик</w:t>
            </w:r>
          </w:p>
          <w:p w:rsidR="00CC559E" w:rsidRDefault="00CC559E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1547" w:type="dxa"/>
          </w:tcPr>
          <w:p w:rsidR="00E22255" w:rsidRDefault="00E22255" w:rsidP="00E22255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Snickers</w:t>
            </w:r>
          </w:p>
          <w:p w:rsidR="00CC559E" w:rsidRDefault="00CC559E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CC559E" w:rsidRDefault="00E22255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N/A</w:t>
            </w:r>
          </w:p>
        </w:tc>
        <w:tc>
          <w:tcPr>
            <w:tcW w:w="1532" w:type="dxa"/>
          </w:tcPr>
          <w:p w:rsidR="00CC559E" w:rsidRDefault="00E22255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4</w:t>
            </w:r>
            <w:r>
              <w:t>7.0</w:t>
            </w:r>
          </w:p>
        </w:tc>
        <w:tc>
          <w:tcPr>
            <w:tcW w:w="1163" w:type="dxa"/>
          </w:tcPr>
          <w:p w:rsidR="00CC559E" w:rsidRDefault="00151626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70%</w:t>
            </w:r>
          </w:p>
        </w:tc>
        <w:tc>
          <w:tcPr>
            <w:tcW w:w="2410" w:type="dxa"/>
          </w:tcPr>
          <w:p w:rsidR="00CC559E" w:rsidRPr="00DE05F9" w:rsidRDefault="00DE05F9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DE05F9">
              <w:rPr>
                <w:lang w:val="ru-RU"/>
              </w:rPr>
              <w:t>Высокий риск кариеса (сахар, вязкая консистенция, длительное нахождение на зубах)</w:t>
            </w:r>
          </w:p>
        </w:tc>
      </w:tr>
      <w:tr w:rsidR="00DE05F9" w:rsidRPr="00F652A4" w:rsidTr="00E2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C559E" w:rsidRDefault="00DE05F9" w:rsidP="00E54594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1855" w:type="dxa"/>
          </w:tcPr>
          <w:p w:rsidR="00E22255" w:rsidRPr="00E22255" w:rsidRDefault="00E22255" w:rsidP="00E22255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22255">
              <w:rPr>
                <w:lang w:val="ru-RU"/>
              </w:rPr>
              <w:t>Печенье</w:t>
            </w:r>
          </w:p>
          <w:p w:rsidR="00CC559E" w:rsidRDefault="00CC559E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1547" w:type="dxa"/>
          </w:tcPr>
          <w:p w:rsidR="00E22255" w:rsidRDefault="00E22255" w:rsidP="00E22255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Oreo</w:t>
            </w:r>
          </w:p>
          <w:p w:rsidR="00CC559E" w:rsidRDefault="00CC559E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CC559E" w:rsidRDefault="00E22255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N/A</w:t>
            </w:r>
          </w:p>
        </w:tc>
        <w:tc>
          <w:tcPr>
            <w:tcW w:w="1532" w:type="dxa"/>
          </w:tcPr>
          <w:p w:rsidR="00CC559E" w:rsidRDefault="00E22255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38.0</w:t>
            </w:r>
          </w:p>
        </w:tc>
        <w:tc>
          <w:tcPr>
            <w:tcW w:w="116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"/>
            </w:tblGrid>
            <w:tr w:rsidR="00151626" w:rsidRPr="00151626" w:rsidTr="00151626">
              <w:trPr>
                <w:tblCellSpacing w:w="15" w:type="dxa"/>
              </w:trPr>
              <w:tc>
                <w:tcPr>
                  <w:tcW w:w="470" w:type="dxa"/>
                  <w:vAlign w:val="center"/>
                  <w:hideMark/>
                </w:tcPr>
                <w:p w:rsidR="00151626" w:rsidRPr="00151626" w:rsidRDefault="00151626" w:rsidP="001516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62%</w:t>
                  </w:r>
                </w:p>
              </w:tc>
            </w:tr>
          </w:tbl>
          <w:p w:rsidR="00151626" w:rsidRPr="00151626" w:rsidRDefault="00151626" w:rsidP="00151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151626" w:rsidRPr="00151626" w:rsidTr="00151626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151626" w:rsidRPr="00151626" w:rsidRDefault="00151626" w:rsidP="001516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559E" w:rsidRDefault="00CC559E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CC559E" w:rsidRPr="00DE05F9" w:rsidRDefault="00DE05F9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DE05F9">
              <w:rPr>
                <w:lang w:val="ru-RU"/>
              </w:rPr>
              <w:t>Высокий риск кариеса (сахар, липкость продукта)</w:t>
            </w:r>
          </w:p>
        </w:tc>
      </w:tr>
      <w:tr w:rsidR="00DE05F9" w:rsidRPr="00F652A4" w:rsidTr="00E2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C559E" w:rsidRDefault="00DE05F9" w:rsidP="00E54594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1855" w:type="dxa"/>
          </w:tcPr>
          <w:p w:rsidR="00E22255" w:rsidRPr="00E22255" w:rsidRDefault="00E22255" w:rsidP="00E22255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22255">
              <w:rPr>
                <w:lang w:val="ru-RU"/>
              </w:rPr>
              <w:t>Выпечка</w:t>
            </w:r>
          </w:p>
          <w:p w:rsidR="00CC559E" w:rsidRDefault="00CC559E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1547" w:type="dxa"/>
          </w:tcPr>
          <w:p w:rsidR="00CC559E" w:rsidRPr="00E22255" w:rsidRDefault="00E22255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E05F9">
              <w:rPr>
                <w:lang w:val="ru-RU"/>
              </w:rPr>
              <w:t>Булочка с повидлом</w:t>
            </w:r>
          </w:p>
        </w:tc>
        <w:tc>
          <w:tcPr>
            <w:tcW w:w="707" w:type="dxa"/>
          </w:tcPr>
          <w:p w:rsidR="00CC559E" w:rsidRDefault="00E22255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N/A</w:t>
            </w:r>
          </w:p>
        </w:tc>
        <w:tc>
          <w:tcPr>
            <w:tcW w:w="1532" w:type="dxa"/>
          </w:tcPr>
          <w:p w:rsidR="00CC559E" w:rsidRDefault="00E22255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</w:t>
            </w:r>
          </w:p>
        </w:tc>
        <w:tc>
          <w:tcPr>
            <w:tcW w:w="1163" w:type="dxa"/>
          </w:tcPr>
          <w:p w:rsidR="00CC559E" w:rsidRDefault="00151626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55%</w:t>
            </w:r>
          </w:p>
        </w:tc>
        <w:tc>
          <w:tcPr>
            <w:tcW w:w="2410" w:type="dxa"/>
          </w:tcPr>
          <w:p w:rsidR="00CC559E" w:rsidRPr="00DE05F9" w:rsidRDefault="00DE05F9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DE05F9">
              <w:rPr>
                <w:lang w:val="ru-RU"/>
              </w:rPr>
              <w:t xml:space="preserve">Высокий риск кариеса (большое </w:t>
            </w:r>
            <w:r w:rsidRPr="00DE05F9">
              <w:rPr>
                <w:lang w:val="ru-RU"/>
              </w:rPr>
              <w:lastRenderedPageBreak/>
              <w:t>содержание сахара, липкая текстура)</w:t>
            </w:r>
          </w:p>
        </w:tc>
      </w:tr>
      <w:tr w:rsidR="00DE05F9" w:rsidRPr="00F652A4" w:rsidTr="00E2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C559E" w:rsidRDefault="00DE05F9" w:rsidP="00E54594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8.</w:t>
            </w:r>
          </w:p>
        </w:tc>
        <w:tc>
          <w:tcPr>
            <w:tcW w:w="1855" w:type="dxa"/>
          </w:tcPr>
          <w:p w:rsidR="00E22255" w:rsidRPr="00E22255" w:rsidRDefault="00E22255" w:rsidP="00E22255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22255">
              <w:rPr>
                <w:lang w:val="ru-RU"/>
              </w:rPr>
              <w:t>Картофельные чипсы</w:t>
            </w:r>
          </w:p>
          <w:p w:rsidR="00CC559E" w:rsidRDefault="00CC559E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1547" w:type="dxa"/>
          </w:tcPr>
          <w:p w:rsidR="00E22255" w:rsidRPr="00DE05F9" w:rsidRDefault="00E22255" w:rsidP="00E22255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t>Lay</w:t>
            </w:r>
            <w:r w:rsidRPr="00DE05F9">
              <w:rPr>
                <w:lang w:val="ru-RU"/>
              </w:rPr>
              <w:t>’</w:t>
            </w:r>
            <w:r>
              <w:t>s</w:t>
            </w:r>
          </w:p>
          <w:p w:rsidR="00CC559E" w:rsidRDefault="00CC559E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E22255" w:rsidRDefault="00E22255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N/A</w:t>
            </w:r>
          </w:p>
          <w:p w:rsidR="00CC559E" w:rsidRPr="00E22255" w:rsidRDefault="00CC559E" w:rsidP="00E22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532" w:type="dxa"/>
          </w:tcPr>
          <w:p w:rsidR="00CC559E" w:rsidRDefault="00151626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1.0</w:t>
            </w:r>
          </w:p>
        </w:tc>
        <w:tc>
          <w:tcPr>
            <w:tcW w:w="1163" w:type="dxa"/>
          </w:tcPr>
          <w:p w:rsidR="00CC559E" w:rsidRDefault="00151626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59%</w:t>
            </w:r>
          </w:p>
        </w:tc>
        <w:tc>
          <w:tcPr>
            <w:tcW w:w="2410" w:type="dxa"/>
          </w:tcPr>
          <w:p w:rsidR="00CC559E" w:rsidRPr="00DE05F9" w:rsidRDefault="00DE05F9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DE05F9">
              <w:rPr>
                <w:lang w:val="ru-RU"/>
              </w:rPr>
              <w:t>Умеренный риск (низкое содержание сахара, но долго задерживаются в зубах)</w:t>
            </w:r>
          </w:p>
        </w:tc>
      </w:tr>
      <w:tr w:rsidR="00DE05F9" w:rsidRPr="00F652A4" w:rsidTr="00E2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C559E" w:rsidRDefault="00DE05F9" w:rsidP="00E54594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1855" w:type="dxa"/>
          </w:tcPr>
          <w:p w:rsidR="00E22255" w:rsidRPr="00E22255" w:rsidRDefault="00E22255" w:rsidP="00E22255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22255">
              <w:rPr>
                <w:lang w:val="ru-RU"/>
              </w:rPr>
              <w:t xml:space="preserve">Молочный продукт </w:t>
            </w:r>
          </w:p>
          <w:p w:rsidR="00CC559E" w:rsidRDefault="00CC559E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1547" w:type="dxa"/>
          </w:tcPr>
          <w:p w:rsidR="00E22255" w:rsidRPr="00DE05F9" w:rsidRDefault="00E22255" w:rsidP="00E22255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E05F9">
              <w:rPr>
                <w:lang w:val="ru-RU"/>
              </w:rPr>
              <w:t>Творожок «Чудо»</w:t>
            </w:r>
          </w:p>
          <w:p w:rsidR="00CC559E" w:rsidRDefault="00CC559E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CC559E" w:rsidRDefault="00E22255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4.5</w:t>
            </w:r>
          </w:p>
        </w:tc>
        <w:tc>
          <w:tcPr>
            <w:tcW w:w="1532" w:type="dxa"/>
          </w:tcPr>
          <w:p w:rsidR="00CC559E" w:rsidRDefault="00151626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8.5</w:t>
            </w:r>
          </w:p>
        </w:tc>
        <w:tc>
          <w:tcPr>
            <w:tcW w:w="116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"/>
            </w:tblGrid>
            <w:tr w:rsidR="00151626" w:rsidRPr="00151626" w:rsidTr="00151626">
              <w:trPr>
                <w:tblCellSpacing w:w="15" w:type="dxa"/>
              </w:trPr>
              <w:tc>
                <w:tcPr>
                  <w:tcW w:w="470" w:type="dxa"/>
                  <w:vAlign w:val="center"/>
                  <w:hideMark/>
                </w:tcPr>
                <w:p w:rsidR="00151626" w:rsidRPr="00151626" w:rsidRDefault="00151626" w:rsidP="001516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41%</w:t>
                  </w:r>
                </w:p>
              </w:tc>
            </w:tr>
          </w:tbl>
          <w:p w:rsidR="00151626" w:rsidRPr="00151626" w:rsidRDefault="00151626" w:rsidP="00151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151626" w:rsidRPr="00151626" w:rsidTr="00151626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151626" w:rsidRPr="00151626" w:rsidRDefault="00151626" w:rsidP="001516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559E" w:rsidRDefault="00CC559E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CC559E" w:rsidRPr="00DE05F9" w:rsidRDefault="00DE05F9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DE05F9">
              <w:rPr>
                <w:lang w:val="ru-RU"/>
              </w:rPr>
              <w:t>Средний риск кариеса (сахар), полезен для эмали (содержит кальций)</w:t>
            </w:r>
          </w:p>
        </w:tc>
      </w:tr>
      <w:tr w:rsidR="00DE05F9" w:rsidRPr="00F652A4" w:rsidTr="00E2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E05F9" w:rsidRDefault="00DE05F9" w:rsidP="00E54594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1855" w:type="dxa"/>
          </w:tcPr>
          <w:p w:rsidR="00E22255" w:rsidRPr="00E22255" w:rsidRDefault="00E22255" w:rsidP="00E22255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22255">
              <w:rPr>
                <w:lang w:val="ru-RU"/>
              </w:rPr>
              <w:t>Натуральный творог</w:t>
            </w:r>
          </w:p>
          <w:p w:rsidR="00CC559E" w:rsidRDefault="00CC559E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1547" w:type="dxa"/>
          </w:tcPr>
          <w:p w:rsidR="00E22255" w:rsidRPr="00DE05F9" w:rsidRDefault="00E22255" w:rsidP="00E22255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t>President</w:t>
            </w:r>
          </w:p>
          <w:p w:rsidR="00CC559E" w:rsidRDefault="00CC559E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CC559E" w:rsidRDefault="00E22255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5.0</w:t>
            </w:r>
          </w:p>
        </w:tc>
        <w:tc>
          <w:tcPr>
            <w:tcW w:w="1532" w:type="dxa"/>
          </w:tcPr>
          <w:p w:rsidR="00CC559E" w:rsidRDefault="00151626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3.0</w:t>
            </w:r>
          </w:p>
        </w:tc>
        <w:tc>
          <w:tcPr>
            <w:tcW w:w="1163" w:type="dxa"/>
          </w:tcPr>
          <w:p w:rsidR="00CC559E" w:rsidRDefault="00151626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28%</w:t>
            </w:r>
          </w:p>
        </w:tc>
        <w:tc>
          <w:tcPr>
            <w:tcW w:w="2410" w:type="dxa"/>
          </w:tcPr>
          <w:p w:rsidR="00CC559E" w:rsidRPr="00DE05F9" w:rsidRDefault="00DE05F9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DE05F9">
              <w:rPr>
                <w:lang w:val="ru-RU"/>
              </w:rPr>
              <w:t>Положительное влияние (кальций и фосфор укрепляют эмаль)</w:t>
            </w:r>
          </w:p>
        </w:tc>
      </w:tr>
      <w:tr w:rsidR="00E22255" w:rsidRPr="00F652A4" w:rsidTr="00E2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E05F9" w:rsidRDefault="00DE05F9" w:rsidP="00E54594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1855" w:type="dxa"/>
          </w:tcPr>
          <w:p w:rsidR="00E22255" w:rsidRPr="00E22255" w:rsidRDefault="00E22255" w:rsidP="00E22255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22255">
              <w:rPr>
                <w:lang w:val="ru-RU"/>
              </w:rPr>
              <w:t>Фрукт</w:t>
            </w:r>
          </w:p>
          <w:p w:rsidR="00DE05F9" w:rsidRDefault="00DE05F9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1547" w:type="dxa"/>
          </w:tcPr>
          <w:p w:rsidR="00E22255" w:rsidRPr="00DE05F9" w:rsidRDefault="00E22255" w:rsidP="00E22255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E05F9">
              <w:rPr>
                <w:lang w:val="ru-RU"/>
              </w:rPr>
              <w:t>Яблоко</w:t>
            </w:r>
          </w:p>
          <w:p w:rsidR="00DE05F9" w:rsidRDefault="00DE05F9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DE05F9" w:rsidRDefault="00E22255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3.9</w:t>
            </w:r>
          </w:p>
        </w:tc>
        <w:tc>
          <w:tcPr>
            <w:tcW w:w="1532" w:type="dxa"/>
          </w:tcPr>
          <w:p w:rsidR="00DE05F9" w:rsidRDefault="00151626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10.4 (</w:t>
            </w:r>
            <w:proofErr w:type="spellStart"/>
            <w:r>
              <w:t>натуральный</w:t>
            </w:r>
            <w:proofErr w:type="spellEnd"/>
            <w:r>
              <w:t xml:space="preserve"> </w:t>
            </w:r>
            <w:proofErr w:type="spellStart"/>
            <w:r>
              <w:t>сахар</w:t>
            </w:r>
            <w:proofErr w:type="spellEnd"/>
            <w:r>
              <w:t>)</w:t>
            </w:r>
          </w:p>
        </w:tc>
        <w:tc>
          <w:tcPr>
            <w:tcW w:w="1163" w:type="dxa"/>
          </w:tcPr>
          <w:p w:rsidR="00DE05F9" w:rsidRPr="00DE05F9" w:rsidRDefault="00151626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47%</w:t>
            </w:r>
          </w:p>
        </w:tc>
        <w:tc>
          <w:tcPr>
            <w:tcW w:w="2410" w:type="dxa"/>
          </w:tcPr>
          <w:p w:rsidR="00DE05F9" w:rsidRPr="00DE05F9" w:rsidRDefault="00DE05F9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Низкий риск кариеса, умеренный риск эрозий эмали (яблочная кислота)</w:t>
            </w:r>
          </w:p>
        </w:tc>
      </w:tr>
      <w:tr w:rsidR="00DE05F9" w:rsidRPr="00F652A4" w:rsidTr="00E2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E05F9" w:rsidRDefault="00DE05F9" w:rsidP="00E54594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1855" w:type="dxa"/>
          </w:tcPr>
          <w:p w:rsidR="00E22255" w:rsidRPr="00E22255" w:rsidRDefault="00E22255" w:rsidP="00E22255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22255">
              <w:rPr>
                <w:lang w:val="ru-RU"/>
              </w:rPr>
              <w:t>Фрукт</w:t>
            </w:r>
          </w:p>
          <w:p w:rsidR="00DE05F9" w:rsidRDefault="00DE05F9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1547" w:type="dxa"/>
          </w:tcPr>
          <w:p w:rsidR="00E22255" w:rsidRPr="00DE05F9" w:rsidRDefault="00E22255" w:rsidP="00E22255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E05F9">
              <w:rPr>
                <w:lang w:val="ru-RU"/>
              </w:rPr>
              <w:t>Банан</w:t>
            </w:r>
          </w:p>
          <w:p w:rsidR="00DE05F9" w:rsidRDefault="00DE05F9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DE05F9" w:rsidRDefault="00E22255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5.0</w:t>
            </w:r>
          </w:p>
        </w:tc>
        <w:tc>
          <w:tcPr>
            <w:tcW w:w="1532" w:type="dxa"/>
          </w:tcPr>
          <w:p w:rsidR="00DE05F9" w:rsidRDefault="00151626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12.2 (</w:t>
            </w:r>
            <w:proofErr w:type="spellStart"/>
            <w:r>
              <w:t>натуральный</w:t>
            </w:r>
            <w:proofErr w:type="spellEnd"/>
            <w:r>
              <w:t xml:space="preserve"> </w:t>
            </w:r>
            <w:proofErr w:type="spellStart"/>
            <w:r>
              <w:t>сахар</w:t>
            </w:r>
            <w:proofErr w:type="spellEnd"/>
            <w:r>
              <w:t>)</w:t>
            </w:r>
          </w:p>
        </w:tc>
        <w:tc>
          <w:tcPr>
            <w:tcW w:w="116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"/>
            </w:tblGrid>
            <w:tr w:rsidR="00151626" w:rsidRPr="00151626" w:rsidTr="00151626">
              <w:trPr>
                <w:tblCellSpacing w:w="15" w:type="dxa"/>
              </w:trPr>
              <w:tc>
                <w:tcPr>
                  <w:tcW w:w="470" w:type="dxa"/>
                  <w:vAlign w:val="center"/>
                  <w:hideMark/>
                </w:tcPr>
                <w:p w:rsidR="00151626" w:rsidRPr="00151626" w:rsidRDefault="00151626" w:rsidP="001516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34%</w:t>
                  </w:r>
                </w:p>
              </w:tc>
            </w:tr>
          </w:tbl>
          <w:p w:rsidR="00151626" w:rsidRPr="00151626" w:rsidRDefault="00151626" w:rsidP="00151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151626" w:rsidRPr="00151626" w:rsidTr="00151626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151626" w:rsidRPr="00151626" w:rsidRDefault="00151626" w:rsidP="001516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E05F9" w:rsidRDefault="00DE05F9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DE05F9" w:rsidRPr="00DE05F9" w:rsidRDefault="00DE05F9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DE05F9">
              <w:rPr>
                <w:lang w:val="ru-RU"/>
              </w:rPr>
              <w:t>Низкий риск кариеса (натуральные сахара), вязкая текстура немного повышает риск</w:t>
            </w:r>
          </w:p>
        </w:tc>
      </w:tr>
      <w:tr w:rsidR="00E22255" w:rsidRPr="00F652A4" w:rsidTr="00E2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E05F9" w:rsidRDefault="00DE05F9" w:rsidP="00E54594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1855" w:type="dxa"/>
          </w:tcPr>
          <w:p w:rsidR="00E22255" w:rsidRPr="00E22255" w:rsidRDefault="00E22255" w:rsidP="00E22255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22255">
              <w:rPr>
                <w:lang w:val="ru-RU"/>
              </w:rPr>
              <w:t>Молочный напиток</w:t>
            </w:r>
          </w:p>
          <w:p w:rsidR="00DE05F9" w:rsidRDefault="00DE05F9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1547" w:type="dxa"/>
          </w:tcPr>
          <w:p w:rsidR="00E22255" w:rsidRPr="00DE05F9" w:rsidRDefault="00E22255" w:rsidP="00E22255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E05F9">
              <w:rPr>
                <w:lang w:val="ru-RU"/>
              </w:rPr>
              <w:t>Молочный коктейль «Чудо»</w:t>
            </w:r>
          </w:p>
          <w:p w:rsidR="00DE05F9" w:rsidRDefault="00DE05F9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DE05F9" w:rsidRDefault="00E22255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6.7</w:t>
            </w:r>
          </w:p>
        </w:tc>
        <w:tc>
          <w:tcPr>
            <w:tcW w:w="1532" w:type="dxa"/>
          </w:tcPr>
          <w:p w:rsidR="00DE05F9" w:rsidRDefault="00151626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10.0</w:t>
            </w:r>
          </w:p>
        </w:tc>
        <w:tc>
          <w:tcPr>
            <w:tcW w:w="1163" w:type="dxa"/>
          </w:tcPr>
          <w:p w:rsidR="00DE05F9" w:rsidRDefault="00151626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38%</w:t>
            </w:r>
          </w:p>
        </w:tc>
        <w:tc>
          <w:tcPr>
            <w:tcW w:w="2410" w:type="dxa"/>
          </w:tcPr>
          <w:p w:rsidR="00DE05F9" w:rsidRPr="00DE05F9" w:rsidRDefault="00DE05F9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DE05F9">
              <w:rPr>
                <w:lang w:val="ru-RU"/>
              </w:rPr>
              <w:t>Умеренный риск кариеса (сахар), положительное влияние (кальций)</w:t>
            </w:r>
          </w:p>
        </w:tc>
      </w:tr>
      <w:tr w:rsidR="00E22255" w:rsidRPr="00F652A4" w:rsidTr="00E2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E05F9" w:rsidRDefault="00DE05F9" w:rsidP="00E54594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1855" w:type="dxa"/>
          </w:tcPr>
          <w:p w:rsidR="00E22255" w:rsidRPr="00E22255" w:rsidRDefault="00E22255" w:rsidP="00E22255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22255">
              <w:rPr>
                <w:lang w:val="ru-RU"/>
              </w:rPr>
              <w:t>Вода питьевая</w:t>
            </w:r>
          </w:p>
          <w:p w:rsidR="00DE05F9" w:rsidRDefault="00DE05F9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1547" w:type="dxa"/>
          </w:tcPr>
          <w:p w:rsidR="00E22255" w:rsidRDefault="00E22255" w:rsidP="00E22255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BonAqua</w:t>
            </w:r>
            <w:proofErr w:type="spellEnd"/>
          </w:p>
          <w:p w:rsidR="00DE05F9" w:rsidRDefault="00DE05F9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DE05F9" w:rsidRDefault="00E22255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7.0</w:t>
            </w:r>
          </w:p>
        </w:tc>
        <w:tc>
          <w:tcPr>
            <w:tcW w:w="1532" w:type="dxa"/>
          </w:tcPr>
          <w:p w:rsidR="00DE05F9" w:rsidRPr="00DE05F9" w:rsidRDefault="00151626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t>0.0</w:t>
            </w:r>
          </w:p>
        </w:tc>
        <w:tc>
          <w:tcPr>
            <w:tcW w:w="1163" w:type="dxa"/>
          </w:tcPr>
          <w:p w:rsidR="00DE05F9" w:rsidRPr="00DE05F9" w:rsidRDefault="00151626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80%</w:t>
            </w:r>
          </w:p>
        </w:tc>
        <w:tc>
          <w:tcPr>
            <w:tcW w:w="2410" w:type="dxa"/>
          </w:tcPr>
          <w:p w:rsidR="00DE05F9" w:rsidRPr="00DE05F9" w:rsidRDefault="00DE05F9" w:rsidP="00E54594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E05F9">
              <w:rPr>
                <w:lang w:val="ru-RU"/>
              </w:rPr>
              <w:t>Нет риска</w:t>
            </w:r>
            <w:r>
              <w:rPr>
                <w:lang w:val="ru-RU"/>
              </w:rPr>
              <w:t>, нейтрализует кислоты, поддерживает здоровье эмали</w:t>
            </w:r>
          </w:p>
        </w:tc>
      </w:tr>
      <w:tr w:rsidR="00E22255" w:rsidRPr="00F652A4" w:rsidTr="00E2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E05F9" w:rsidRDefault="00DE05F9" w:rsidP="00E54594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1855" w:type="dxa"/>
          </w:tcPr>
          <w:p w:rsidR="00E22255" w:rsidRPr="00E22255" w:rsidRDefault="00E22255" w:rsidP="00E22255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22255">
              <w:rPr>
                <w:lang w:val="ru-RU"/>
              </w:rPr>
              <w:t>Орехи</w:t>
            </w:r>
          </w:p>
          <w:p w:rsidR="00DE05F9" w:rsidRDefault="00DE05F9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1547" w:type="dxa"/>
          </w:tcPr>
          <w:p w:rsidR="00DE05F9" w:rsidRDefault="00DE05F9" w:rsidP="00DE05F9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Миндаль</w:t>
            </w:r>
            <w:proofErr w:type="spellEnd"/>
            <w:r>
              <w:t xml:space="preserve">, </w:t>
            </w:r>
            <w:proofErr w:type="spellStart"/>
            <w:r>
              <w:t>грецкий</w:t>
            </w:r>
            <w:proofErr w:type="spellEnd"/>
            <w:r>
              <w:t xml:space="preserve"> </w:t>
            </w:r>
            <w:proofErr w:type="spellStart"/>
            <w:r>
              <w:t>орех</w:t>
            </w:r>
            <w:proofErr w:type="spellEnd"/>
          </w:p>
          <w:p w:rsidR="00DE05F9" w:rsidRDefault="00DE05F9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DE05F9" w:rsidRDefault="00E22255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t>6.8</w:t>
            </w:r>
          </w:p>
        </w:tc>
        <w:tc>
          <w:tcPr>
            <w:tcW w:w="1532" w:type="dxa"/>
          </w:tcPr>
          <w:p w:rsidR="00DE05F9" w:rsidRPr="00DE05F9" w:rsidRDefault="00151626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t>4.5 (</w:t>
            </w:r>
            <w:proofErr w:type="spellStart"/>
            <w:r>
              <w:t>натуральные</w:t>
            </w:r>
            <w:proofErr w:type="spellEnd"/>
            <w:r>
              <w:t xml:space="preserve"> </w:t>
            </w:r>
            <w:proofErr w:type="spellStart"/>
            <w:r>
              <w:t>сахара</w:t>
            </w:r>
            <w:proofErr w:type="spellEnd"/>
            <w:r>
              <w:t>)</w:t>
            </w:r>
          </w:p>
        </w:tc>
        <w:tc>
          <w:tcPr>
            <w:tcW w:w="1163" w:type="dxa"/>
          </w:tcPr>
          <w:p w:rsidR="00DE05F9" w:rsidRPr="00DE05F9" w:rsidRDefault="00151626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29%</w:t>
            </w:r>
          </w:p>
        </w:tc>
        <w:tc>
          <w:tcPr>
            <w:tcW w:w="2410" w:type="dxa"/>
          </w:tcPr>
          <w:p w:rsidR="00DE05F9" w:rsidRPr="00DE05F9" w:rsidRDefault="00DE05F9" w:rsidP="00E54594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DE05F9">
              <w:rPr>
                <w:lang w:val="ru-RU"/>
              </w:rPr>
              <w:t>оложительное влияние (содержат кальций, фосфор, магний, стимулируют слюноотделение и естественное очищение зубов</w:t>
            </w:r>
            <w:r>
              <w:rPr>
                <w:lang w:val="ru-RU"/>
              </w:rPr>
              <w:t>)</w:t>
            </w:r>
          </w:p>
        </w:tc>
      </w:tr>
    </w:tbl>
    <w:p w:rsidR="00433ED0" w:rsidRPr="00424EC7" w:rsidRDefault="00D52285" w:rsidP="00E54594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br/>
      </w:r>
      <w:r w:rsidRPr="00D52285">
        <w:rPr>
          <w:sz w:val="28"/>
          <w:szCs w:val="28"/>
          <w:lang w:val="ru-RU"/>
        </w:rPr>
        <w:t xml:space="preserve">В результате проведённого анкетирования среди 512 учащихся пяти государственных школ г. Астаны были выявлены наиболее популярные </w:t>
      </w:r>
      <w:r w:rsidRPr="00D52285">
        <w:rPr>
          <w:sz w:val="28"/>
          <w:szCs w:val="28"/>
          <w:lang w:val="ru-RU"/>
        </w:rPr>
        <w:lastRenderedPageBreak/>
        <w:t>продукты и напитки, регулярно употребляемые школьниками. Согласно полученным данным, самыми распространёнными продуктами среди школьников являются сладкие газированные напитки (</w:t>
      </w:r>
      <w:r w:rsidRPr="00D52285">
        <w:rPr>
          <w:sz w:val="28"/>
          <w:szCs w:val="28"/>
        </w:rPr>
        <w:t>Coca</w:t>
      </w:r>
      <w:r w:rsidRPr="00D52285">
        <w:rPr>
          <w:sz w:val="28"/>
          <w:szCs w:val="28"/>
          <w:lang w:val="ru-RU"/>
        </w:rPr>
        <w:t>-</w:t>
      </w:r>
      <w:r w:rsidRPr="00D52285">
        <w:rPr>
          <w:sz w:val="28"/>
          <w:szCs w:val="28"/>
        </w:rPr>
        <w:t>Cola</w:t>
      </w:r>
      <w:r w:rsidRPr="00D52285">
        <w:rPr>
          <w:sz w:val="28"/>
          <w:szCs w:val="28"/>
          <w:lang w:val="ru-RU"/>
        </w:rPr>
        <w:t>, 65%), шоколадные батончики (</w:t>
      </w:r>
      <w:r w:rsidRPr="00D52285">
        <w:rPr>
          <w:sz w:val="28"/>
          <w:szCs w:val="28"/>
        </w:rPr>
        <w:t>Snickers</w:t>
      </w:r>
      <w:r w:rsidRPr="00D52285">
        <w:rPr>
          <w:sz w:val="28"/>
          <w:szCs w:val="28"/>
          <w:lang w:val="ru-RU"/>
        </w:rPr>
        <w:t>, 70%), печенье (</w:t>
      </w:r>
      <w:r w:rsidRPr="00D52285">
        <w:rPr>
          <w:sz w:val="28"/>
          <w:szCs w:val="28"/>
        </w:rPr>
        <w:t>Oreo</w:t>
      </w:r>
      <w:r w:rsidRPr="00D52285">
        <w:rPr>
          <w:sz w:val="28"/>
          <w:szCs w:val="28"/>
          <w:lang w:val="ru-RU"/>
        </w:rPr>
        <w:t>, 62%) и чипсы (</w:t>
      </w:r>
      <w:r w:rsidRPr="00D52285">
        <w:rPr>
          <w:sz w:val="28"/>
          <w:szCs w:val="28"/>
        </w:rPr>
        <w:t>Lay</w:t>
      </w:r>
      <w:r w:rsidRPr="00D52285">
        <w:rPr>
          <w:sz w:val="28"/>
          <w:szCs w:val="28"/>
          <w:lang w:val="ru-RU"/>
        </w:rPr>
        <w:t>’</w:t>
      </w:r>
      <w:r w:rsidRPr="00D52285">
        <w:rPr>
          <w:sz w:val="28"/>
          <w:szCs w:val="28"/>
        </w:rPr>
        <w:t>s</w:t>
      </w:r>
      <w:r w:rsidRPr="00D52285">
        <w:rPr>
          <w:sz w:val="28"/>
          <w:szCs w:val="28"/>
          <w:lang w:val="ru-RU"/>
        </w:rPr>
        <w:t>, 59%). Также высока популярность фруктовых соков (апельсиновый сок — 56%) и холодного чая в бутылках (</w:t>
      </w:r>
      <w:r w:rsidRPr="00D52285">
        <w:rPr>
          <w:sz w:val="28"/>
          <w:szCs w:val="28"/>
        </w:rPr>
        <w:t>Lipton</w:t>
      </w:r>
      <w:r w:rsidRPr="00D52285">
        <w:rPr>
          <w:sz w:val="28"/>
          <w:szCs w:val="28"/>
          <w:lang w:val="ru-RU"/>
        </w:rPr>
        <w:t xml:space="preserve"> </w:t>
      </w:r>
      <w:r w:rsidRPr="00D52285">
        <w:rPr>
          <w:sz w:val="28"/>
          <w:szCs w:val="28"/>
        </w:rPr>
        <w:t>Ice</w:t>
      </w:r>
      <w:r w:rsidRPr="00D52285">
        <w:rPr>
          <w:sz w:val="28"/>
          <w:szCs w:val="28"/>
          <w:lang w:val="ru-RU"/>
        </w:rPr>
        <w:t xml:space="preserve"> </w:t>
      </w:r>
      <w:r w:rsidRPr="00D52285">
        <w:rPr>
          <w:sz w:val="28"/>
          <w:szCs w:val="28"/>
        </w:rPr>
        <w:t>Tea</w:t>
      </w:r>
      <w:r w:rsidRPr="00D52285">
        <w:rPr>
          <w:sz w:val="28"/>
          <w:szCs w:val="28"/>
          <w:lang w:val="ru-RU"/>
        </w:rPr>
        <w:t xml:space="preserve"> — 52%), которые, несмотря на умеренное содержание сахара, имеют низкий </w:t>
      </w:r>
      <w:r w:rsidRPr="00D52285">
        <w:rPr>
          <w:sz w:val="28"/>
          <w:szCs w:val="28"/>
        </w:rPr>
        <w:t>pH</w:t>
      </w:r>
      <w:r w:rsidRPr="00D52285">
        <w:rPr>
          <w:sz w:val="28"/>
          <w:szCs w:val="28"/>
          <w:lang w:val="ru-RU"/>
        </w:rPr>
        <w:t xml:space="preserve"> и, следовательно, повышают риск эрозии эмали. Среди продуктов, обладающих меньшей степенью риска для полости рта, школьники предпочитают свежие фрукты (яблоки — 47%, бананы — 40%), молочные продукты (натуральный творог и йогурты — около 35–41%), а также орехи (около 29%). Эти продукты характеризуются нейтральным или близким к нейтральному </w:t>
      </w:r>
      <w:r w:rsidRPr="00D52285">
        <w:rPr>
          <w:sz w:val="28"/>
          <w:szCs w:val="28"/>
        </w:rPr>
        <w:t>pH</w:t>
      </w:r>
      <w:r w:rsidRPr="00D52285">
        <w:rPr>
          <w:sz w:val="28"/>
          <w:szCs w:val="28"/>
          <w:lang w:val="ru-RU"/>
        </w:rPr>
        <w:t xml:space="preserve">, высоким содержанием минералов и витаминов, которые способствуют укреплению зубной ткани и </w:t>
      </w:r>
      <w:proofErr w:type="spellStart"/>
      <w:r w:rsidRPr="00D52285">
        <w:rPr>
          <w:sz w:val="28"/>
          <w:szCs w:val="28"/>
          <w:lang w:val="ru-RU"/>
        </w:rPr>
        <w:t>реминерализации</w:t>
      </w:r>
      <w:proofErr w:type="spellEnd"/>
      <w:r w:rsidRPr="00D52285">
        <w:rPr>
          <w:sz w:val="28"/>
          <w:szCs w:val="28"/>
          <w:lang w:val="ru-RU"/>
        </w:rPr>
        <w:t xml:space="preserve"> эмали, а также стимулируют естественную гигиену полости рта (</w:t>
      </w:r>
      <w:proofErr w:type="spellStart"/>
      <w:r w:rsidRPr="00D52285">
        <w:rPr>
          <w:sz w:val="28"/>
          <w:szCs w:val="28"/>
        </w:rPr>
        <w:t>Kashket</w:t>
      </w:r>
      <w:proofErr w:type="spellEnd"/>
      <w:r w:rsidRPr="00D52285">
        <w:rPr>
          <w:sz w:val="28"/>
          <w:szCs w:val="28"/>
          <w:lang w:val="ru-RU"/>
        </w:rPr>
        <w:t xml:space="preserve"> &amp; </w:t>
      </w:r>
      <w:proofErr w:type="spellStart"/>
      <w:r w:rsidRPr="00D52285">
        <w:rPr>
          <w:sz w:val="28"/>
          <w:szCs w:val="28"/>
        </w:rPr>
        <w:t>DePaola</w:t>
      </w:r>
      <w:proofErr w:type="spellEnd"/>
      <w:r w:rsidRPr="00D52285">
        <w:rPr>
          <w:sz w:val="28"/>
          <w:szCs w:val="28"/>
          <w:lang w:val="ru-RU"/>
        </w:rPr>
        <w:t xml:space="preserve">, 2021; </w:t>
      </w:r>
      <w:proofErr w:type="spellStart"/>
      <w:r w:rsidRPr="00D52285">
        <w:rPr>
          <w:sz w:val="28"/>
          <w:szCs w:val="28"/>
        </w:rPr>
        <w:t>Touger</w:t>
      </w:r>
      <w:proofErr w:type="spellEnd"/>
      <w:r w:rsidRPr="00D52285">
        <w:rPr>
          <w:sz w:val="28"/>
          <w:szCs w:val="28"/>
          <w:lang w:val="ru-RU"/>
        </w:rPr>
        <w:t>-</w:t>
      </w:r>
      <w:r w:rsidRPr="00D52285">
        <w:rPr>
          <w:sz w:val="28"/>
          <w:szCs w:val="28"/>
        </w:rPr>
        <w:t>Decker</w:t>
      </w:r>
      <w:r w:rsidRPr="00D52285">
        <w:rPr>
          <w:sz w:val="28"/>
          <w:szCs w:val="28"/>
          <w:lang w:val="ru-RU"/>
        </w:rPr>
        <w:t xml:space="preserve"> &amp; </w:t>
      </w:r>
      <w:r w:rsidRPr="00D52285">
        <w:rPr>
          <w:sz w:val="28"/>
          <w:szCs w:val="28"/>
        </w:rPr>
        <w:t>Mobley</w:t>
      </w:r>
      <w:r w:rsidRPr="00D52285">
        <w:rPr>
          <w:sz w:val="28"/>
          <w:szCs w:val="28"/>
          <w:lang w:val="ru-RU"/>
        </w:rPr>
        <w:t>, 2019). Таким образом, результаты показывают необходимость пересмотра рациона питания школьников с целью снижения потребления продуктов с высоким содержанием сахара и кислот и продвижения полезных альтернатив, таких как орехи, фрукты и молочные продукты.</w:t>
      </w:r>
      <w:r w:rsidR="00433ED0" w:rsidRPr="00973EC2">
        <w:rPr>
          <w:sz w:val="28"/>
          <w:szCs w:val="28"/>
          <w:lang w:val="ru-RU"/>
        </w:rPr>
        <w:br/>
      </w:r>
      <w:r w:rsidR="00433ED0" w:rsidRPr="00973EC2">
        <w:rPr>
          <w:sz w:val="28"/>
          <w:szCs w:val="28"/>
          <w:lang w:val="ru-RU"/>
        </w:rPr>
        <w:br/>
      </w:r>
      <w:r w:rsidR="00424EC7">
        <w:rPr>
          <w:sz w:val="28"/>
          <w:szCs w:val="28"/>
          <w:lang w:val="ru-RU"/>
        </w:rPr>
        <w:br/>
      </w:r>
      <w:r w:rsidR="00424EC7">
        <w:rPr>
          <w:sz w:val="28"/>
          <w:szCs w:val="28"/>
          <w:lang w:val="ru-RU"/>
        </w:rPr>
        <w:br/>
      </w:r>
      <w:r w:rsidR="00424EC7">
        <w:rPr>
          <w:sz w:val="28"/>
          <w:szCs w:val="28"/>
          <w:lang w:val="ru-RU"/>
        </w:rPr>
        <w:br/>
      </w:r>
      <w:r w:rsidR="00424EC7" w:rsidRPr="00424EC7">
        <w:rPr>
          <w:sz w:val="28"/>
          <w:szCs w:val="28"/>
          <w:lang w:val="ru-RU"/>
        </w:rPr>
        <w:t>Проведённое исследование убедительно демонстрирует, что питание является важнейшим фактором, определяющим здоровье полости рта у детей и подростков. Полученные результаты подтверждают, что среди учащихся школ Астаны широко распространены продукты с высоким содержанием сахара и кислот, которые способствуют возникновению кариеса и эрозии эмали (</w:t>
      </w:r>
      <w:r w:rsidR="00424EC7" w:rsidRPr="00424EC7">
        <w:rPr>
          <w:sz w:val="28"/>
          <w:szCs w:val="28"/>
        </w:rPr>
        <w:t>WHO</w:t>
      </w:r>
      <w:r w:rsidR="00424EC7" w:rsidRPr="00424EC7">
        <w:rPr>
          <w:sz w:val="28"/>
          <w:szCs w:val="28"/>
          <w:lang w:val="ru-RU"/>
        </w:rPr>
        <w:t>, 2022; 24.</w:t>
      </w:r>
      <w:proofErr w:type="spellStart"/>
      <w:r w:rsidR="00424EC7" w:rsidRPr="00424EC7">
        <w:rPr>
          <w:sz w:val="28"/>
          <w:szCs w:val="28"/>
        </w:rPr>
        <w:t>kz</w:t>
      </w:r>
      <w:proofErr w:type="spellEnd"/>
      <w:r w:rsidR="00424EC7" w:rsidRPr="00424EC7">
        <w:rPr>
          <w:sz w:val="28"/>
          <w:szCs w:val="28"/>
          <w:lang w:val="ru-RU"/>
        </w:rPr>
        <w:t xml:space="preserve">, 2024). Вместе с тем умеренную популярность приобретают более полезные альтернативы, такие как орехи, фрукты и молочные продукты, которые благодаря содержанию кальция, фосфора и витамина </w:t>
      </w:r>
      <w:r w:rsidR="00424EC7" w:rsidRPr="00424EC7">
        <w:rPr>
          <w:sz w:val="28"/>
          <w:szCs w:val="28"/>
        </w:rPr>
        <w:t>D</w:t>
      </w:r>
      <w:r w:rsidR="00424EC7" w:rsidRPr="00424EC7">
        <w:rPr>
          <w:sz w:val="28"/>
          <w:szCs w:val="28"/>
          <w:lang w:val="ru-RU"/>
        </w:rPr>
        <w:t xml:space="preserve"> эффективно способствуют укреплению и восстановлению структуры зубов (</w:t>
      </w:r>
      <w:proofErr w:type="spellStart"/>
      <w:r w:rsidR="00424EC7" w:rsidRPr="00424EC7">
        <w:rPr>
          <w:sz w:val="28"/>
          <w:szCs w:val="28"/>
        </w:rPr>
        <w:t>Kashket</w:t>
      </w:r>
      <w:proofErr w:type="spellEnd"/>
      <w:r w:rsidR="00424EC7" w:rsidRPr="00424EC7">
        <w:rPr>
          <w:sz w:val="28"/>
          <w:szCs w:val="28"/>
          <w:lang w:val="ru-RU"/>
        </w:rPr>
        <w:t xml:space="preserve"> &amp; </w:t>
      </w:r>
      <w:proofErr w:type="spellStart"/>
      <w:r w:rsidR="00424EC7" w:rsidRPr="00424EC7">
        <w:rPr>
          <w:sz w:val="28"/>
          <w:szCs w:val="28"/>
        </w:rPr>
        <w:t>DePaola</w:t>
      </w:r>
      <w:proofErr w:type="spellEnd"/>
      <w:r w:rsidR="00424EC7" w:rsidRPr="00424EC7">
        <w:rPr>
          <w:sz w:val="28"/>
          <w:szCs w:val="28"/>
          <w:lang w:val="ru-RU"/>
        </w:rPr>
        <w:t xml:space="preserve">, 2021; </w:t>
      </w:r>
      <w:proofErr w:type="spellStart"/>
      <w:r w:rsidR="00424EC7" w:rsidRPr="00424EC7">
        <w:rPr>
          <w:sz w:val="28"/>
          <w:szCs w:val="28"/>
        </w:rPr>
        <w:t>Schroth</w:t>
      </w:r>
      <w:proofErr w:type="spellEnd"/>
      <w:r w:rsidR="00424EC7" w:rsidRPr="00424EC7">
        <w:rPr>
          <w:sz w:val="28"/>
          <w:szCs w:val="28"/>
          <w:lang w:val="ru-RU"/>
        </w:rPr>
        <w:t xml:space="preserve"> </w:t>
      </w:r>
      <w:r w:rsidR="00424EC7" w:rsidRPr="00424EC7">
        <w:rPr>
          <w:sz w:val="28"/>
          <w:szCs w:val="28"/>
        </w:rPr>
        <w:t>et</w:t>
      </w:r>
      <w:r w:rsidR="00424EC7" w:rsidRPr="00424EC7">
        <w:rPr>
          <w:sz w:val="28"/>
          <w:szCs w:val="28"/>
          <w:lang w:val="ru-RU"/>
        </w:rPr>
        <w:t xml:space="preserve"> </w:t>
      </w:r>
      <w:r w:rsidR="00424EC7" w:rsidRPr="00424EC7">
        <w:rPr>
          <w:sz w:val="28"/>
          <w:szCs w:val="28"/>
        </w:rPr>
        <w:t>al</w:t>
      </w:r>
      <w:r w:rsidR="00424EC7" w:rsidRPr="00424EC7">
        <w:rPr>
          <w:sz w:val="28"/>
          <w:szCs w:val="28"/>
          <w:lang w:val="ru-RU"/>
        </w:rPr>
        <w:t>., 2020). Однако полученные результаты подчёркивают, что для полноценной профилактики стоматологических заболеваний недостаточно рекомендаций по питанию. Требуется комплексный подход, включающий регулярную гигиену полости рта, повышение осведомлённости родителей и педагогов, а также внедрение специализированных образовательных программ в школах. Реализация данных мер на систематическом уровне позволит значительно снизить распространённость кариеса и других патологий среди школьников, способствуя улучшению их общего здоровья и качества жизни.</w:t>
      </w:r>
    </w:p>
    <w:p w:rsidR="008C4A9A" w:rsidRPr="008C4A9A" w:rsidRDefault="008C4A9A" w:rsidP="008C4A9A">
      <w:pPr>
        <w:pStyle w:val="a5"/>
      </w:pPr>
      <w:r w:rsidRPr="00CC559E">
        <w:rPr>
          <w:sz w:val="28"/>
          <w:szCs w:val="28"/>
          <w:lang w:val="ru-RU"/>
        </w:rPr>
        <w:lastRenderedPageBreak/>
        <w:br/>
      </w:r>
      <w:r w:rsidRPr="00CC559E">
        <w:rPr>
          <w:sz w:val="28"/>
          <w:szCs w:val="28"/>
          <w:lang w:val="ru-RU"/>
        </w:rPr>
        <w:br/>
      </w:r>
      <w:r w:rsidRPr="00CC559E">
        <w:rPr>
          <w:sz w:val="28"/>
          <w:szCs w:val="28"/>
          <w:lang w:val="ru-RU"/>
        </w:rPr>
        <w:br/>
      </w:r>
      <w:proofErr w:type="gramStart"/>
      <w:r w:rsidRPr="008C4A9A">
        <w:rPr>
          <w:rFonts w:hAnsi="Symbol"/>
        </w:rPr>
        <w:t></w:t>
      </w:r>
      <w:r w:rsidRPr="008C4A9A">
        <w:t xml:space="preserve">  Moynihan</w:t>
      </w:r>
      <w:proofErr w:type="gramEnd"/>
      <w:r w:rsidRPr="008C4A9A">
        <w:t xml:space="preserve">, P. &amp; Kelly, S. (2014). Effect on Caries of Restricting Sugars Intake: Systematic Review. </w:t>
      </w:r>
      <w:r w:rsidRPr="008C4A9A">
        <w:rPr>
          <w:i/>
          <w:iCs/>
        </w:rPr>
        <w:t>Journal of Dental Research</w:t>
      </w:r>
      <w:r w:rsidRPr="008C4A9A">
        <w:t>, 93(1), pp. 8–18.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Sheiham</w:t>
      </w:r>
      <w:proofErr w:type="spellEnd"/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A. (2001). Dietary implications for oral health.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Bulletin of the World Health Organization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, 79(6), pp. 567–575.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World</w:t>
      </w:r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Health Organization (2022).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WHO global oral health status report: towards universal health coverage for oral health by 2030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. Geneva: WHO.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Tinanoff</w:t>
      </w:r>
      <w:proofErr w:type="spellEnd"/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N. &amp; Baez, R.J. (2005). Diet and dental caries in children: A Review.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Caries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Research</w:t>
      </w:r>
      <w:r w:rsidRPr="008C4A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39(3), 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8C4A9A">
        <w:rPr>
          <w:rFonts w:ascii="Times New Roman" w:eastAsia="Times New Roman" w:hAnsi="Times New Roman" w:cs="Times New Roman"/>
          <w:sz w:val="24"/>
          <w:szCs w:val="24"/>
          <w:lang w:val="ru-RU"/>
        </w:rPr>
        <w:t>. 233–239.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Новиков</w:t>
      </w:r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А.Б. &amp; Иванова, Е.Д. (2019). Влияние питания на состояние полости рта у детей и подростков. </w:t>
      </w:r>
      <w:proofErr w:type="spellStart"/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Стоматологический</w:t>
      </w:r>
      <w:proofErr w:type="spellEnd"/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журнал</w:t>
      </w:r>
      <w:proofErr w:type="spellEnd"/>
      <w:r w:rsidRPr="008C4A9A">
        <w:rPr>
          <w:rFonts w:ascii="Times New Roman" w:eastAsia="Times New Roman" w:hAnsi="Times New Roman" w:cs="Times New Roman"/>
          <w:sz w:val="24"/>
          <w:szCs w:val="24"/>
        </w:rPr>
        <w:t>, 28(2), 134–142.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Featherstone</w:t>
      </w:r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J.D.B. (2008). The science and practice of caries prevention.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American Dental Association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, 139(7), pp. 881–899.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CC5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Соколова</w:t>
      </w:r>
      <w:proofErr w:type="gramEnd"/>
      <w:r w:rsidRPr="00CC5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Н.В. &amp; Кузнецова, О.П. (2020). </w:t>
      </w:r>
      <w:r w:rsidRPr="008C4A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Влияние потребления сахара на развитие стоматологических заболеваний у подростков. </w:t>
      </w:r>
      <w:proofErr w:type="spellStart"/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Вестник</w:t>
      </w:r>
      <w:proofErr w:type="spellEnd"/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детской</w:t>
      </w:r>
      <w:proofErr w:type="spellEnd"/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стоматологии</w:t>
      </w:r>
      <w:proofErr w:type="spellEnd"/>
      <w:r w:rsidRPr="008C4A9A">
        <w:rPr>
          <w:rFonts w:ascii="Times New Roman" w:eastAsia="Times New Roman" w:hAnsi="Times New Roman" w:cs="Times New Roman"/>
          <w:sz w:val="24"/>
          <w:szCs w:val="24"/>
        </w:rPr>
        <w:t>, 15(3), pp. 98–105.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Loesche</w:t>
      </w:r>
      <w:proofErr w:type="spellEnd"/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W.J. (1986). Role of Streptococcus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mutans</w:t>
      </w:r>
      <w:proofErr w:type="spell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in human dental decay.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Microbiological Reviews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, 50(4), pp. 353–380.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Lussi</w:t>
      </w:r>
      <w:proofErr w:type="spellEnd"/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A. &amp;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Schaffner</w:t>
      </w:r>
      <w:proofErr w:type="spell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M. (2013). Erosive tooth wear and diet: a systematic review.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Oral Investigations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, 17(5), pp. 1039–1048.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Dugmore</w:t>
      </w:r>
      <w:proofErr w:type="spellEnd"/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C.R. &amp; Rock, W.P. (2004). A multifactorial analysis of factors associated with dental erosion.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British Dental Journal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, 196(5), pp. 283–286.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Tahmassebi</w:t>
      </w:r>
      <w:proofErr w:type="spellEnd"/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>, J.F., Duggal, M.S., Malik-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Kotru</w:t>
      </w:r>
      <w:proofErr w:type="spell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G. &amp; Curzon, M.E.J. (2006). Soft drinks and dental health: A review.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Dentistry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, 34(1), pp. 2–11.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Schroth</w:t>
      </w:r>
      <w:proofErr w:type="spellEnd"/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R.J., Levi, J.,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Kliewer</w:t>
      </w:r>
      <w:proofErr w:type="spell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E. &amp;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Friel</w:t>
      </w:r>
      <w:proofErr w:type="spell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J. (2020). Vitamin D and Dental Caries in Children: A Systematic Review.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Nutrients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, 12(12), 3691.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Hujoel</w:t>
      </w:r>
      <w:proofErr w:type="spellEnd"/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P.P. (2013). Vitamin D and dental caries in controlled clinical trials: systematic review and meta-analysis.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Nutrition Reviews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, 71(2), pp. 88–97.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Botelho</w:t>
      </w:r>
      <w:proofErr w:type="spellEnd"/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J., Machado, V. &amp;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Proença</w:t>
      </w:r>
      <w:proofErr w:type="spell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L. (2020). The role of vitamins and minerals in oral health: A review of literature.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Dentistry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, Article ID 3140621.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Llena</w:t>
      </w:r>
      <w:proofErr w:type="spellEnd"/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C. &amp;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Saeves</w:t>
      </w:r>
      <w:proofErr w:type="spell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R. (2022). Saliva and dental erosion: A systematic review.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Dentistry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, 121, 104105.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Hara</w:t>
      </w:r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A.T. &amp; Zero, D.T. (2022). The potential of saliva in protecting against dental erosion.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Dental Research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, 101(2), pp. 139–147.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Pedersen</w:t>
      </w:r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A.M.L.,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Sørensen</w:t>
      </w:r>
      <w:proofErr w:type="spell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C.E., Proctor, G.B. et al. (2018). Saliva and gastrointestinal functions of taste, mastication, swallowing and digestion.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Oral Rehabilitation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, 45(9), pp. 730–746.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Llena</w:t>
      </w:r>
      <w:proofErr w:type="spellEnd"/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C. &amp;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Saeves</w:t>
      </w:r>
      <w:proofErr w:type="spell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R. (2022). The role of saliva in dental erosion and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remineralization</w:t>
      </w:r>
      <w:proofErr w:type="spell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Environmental Research and Public Health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, 19(9), 5162.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Marshall</w:t>
      </w:r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T.A.,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Eichenberger</w:t>
      </w:r>
      <w:proofErr w:type="spell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-Gilmore, J.M.,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Broffitt</w:t>
      </w:r>
      <w:proofErr w:type="spell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B., Warren, J.J. &amp; Levy, S.M. (2013). Dental caries and childhood diet: Longitudinal studies.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Dental Research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, 92(6), pp. 525–531.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Centers</w:t>
      </w:r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for Disease Control and Prevention (CDC) (2022).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Children’s Oral Health Surveillance Report, Trends and Data Summary 2022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. Atlanta: CDC.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Nordic</w:t>
      </w:r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Council of Ministers (2023).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Nordic Nutrition Recommendations 2023 – integrating nutrition and sustainability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. Copenhagen: Nordic Council of Ministers.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Public</w:t>
      </w:r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Health England (2019).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Sugar reduction: Report on progress between 2015 and 2018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. London: Public Health England.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Evans</w:t>
      </w:r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C.E.L., Hutchinson, J. &amp; Christian, M.S. (2020). Strategies to reduce sugar intake.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Public Health Nutrition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, 23(6), pp. 1080–1089.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Touger</w:t>
      </w:r>
      <w:proofErr w:type="spellEnd"/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-Decker, R. &amp; Mobley, C. (2019).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Nutrition and Oral Medicine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. Switzerland: Springer Nature.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Kashket</w:t>
      </w:r>
      <w:proofErr w:type="spellEnd"/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S. &amp;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DePaola</w:t>
      </w:r>
      <w:proofErr w:type="spell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D.P. (2021). Cheese consumption and oral health: A review.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Oral Biology and Craniofacial Research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, 11(4), pp. 534–539.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Alsharif</w:t>
      </w:r>
      <w:proofErr w:type="spellEnd"/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>, A., Al-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hamdan</w:t>
      </w:r>
      <w:proofErr w:type="spell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R. &amp; Tavares, M. (2021). Dietary habits and dental caries among adolescents: Systematic Review.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Public Health Dentistry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, 81(1), pp. 20–30.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Centers</w:t>
      </w:r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for Disease Control and Prevention (CDC) (2022).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School-based Dental Sealant Programs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. Available at: </w:t>
      </w:r>
      <w:hyperlink r:id="rId5" w:tgtFrame="_new" w:history="1">
        <w:r w:rsidRPr="008C4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www.cdc.gov</w:t>
        </w:r>
      </w:hyperlink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(Accessed: 12 March 2025).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American</w:t>
      </w:r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Dental Association (ADA) (2021).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ADA guidelines for effective oral hygiene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. Available at: </w:t>
      </w:r>
      <w:hyperlink r:id="rId6" w:tgtFrame="_new" w:history="1">
        <w:r w:rsidRPr="008C4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www.ada.org</w:t>
        </w:r>
      </w:hyperlink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(Accessed: 12 March 2025).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Walsh</w:t>
      </w:r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T. &amp;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Glenwright</w:t>
      </w:r>
      <w:proofErr w:type="spell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H.D. (2022). Oral hygiene and preventive dentistry.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Dental Journal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, 67(1), pp. S48–S55.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Chi</w:t>
      </w:r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D.L. &amp; Scott, J.M. (2019). Added sugar and dental caries in children: a scientific update.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Public Health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, 109(8), pp. 1248–1254.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Hujoel</w:t>
      </w:r>
      <w:proofErr w:type="spellEnd"/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P.P. (2013). Vitamin D and dental caries in controlled clinical trials: systematic review and meta-analysis.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Nutrition Reviews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, 71(2), pp. 88–97.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Walsh</w:t>
      </w:r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L.J. &amp; 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Glenwright</w:t>
      </w:r>
      <w:proofErr w:type="spell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, H.D. (2022). Oral hygiene and preventive dentistry.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Dental Journal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, 67(1), pp. S48–S55.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 Centers</w:t>
      </w:r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for Disease Control and Prevention (CDC) (2022).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</w:rPr>
        <w:t>Children’s Oral Health Surveillance Report, Trends and Data Summary 2022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. Available</w:t>
      </w:r>
      <w:r w:rsidRPr="008C4A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8C4A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hyperlink r:id="rId7" w:tgtFrame="_new" w:history="1">
        <w:r w:rsidRPr="008C4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Pr="008C4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8C4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cdc</w:t>
        </w:r>
        <w:proofErr w:type="spellEnd"/>
        <w:r w:rsidRPr="008C4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8C4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gov</w:t>
        </w:r>
        <w:proofErr w:type="spellEnd"/>
      </w:hyperlink>
      <w:r w:rsidRPr="008C4A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Accessed</w:t>
      </w:r>
      <w:r w:rsidRPr="008C4A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12 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>March</w:t>
      </w:r>
      <w:r w:rsidRPr="008C4A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2025).</w:t>
      </w:r>
    </w:p>
    <w:p w:rsidR="008C4A9A" w:rsidRPr="008C4A9A" w:rsidRDefault="008C4A9A" w:rsidP="008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A9A">
        <w:rPr>
          <w:rFonts w:ascii="Times New Roman" w:eastAsia="Times New Roman" w:hAnsi="Symbol" w:cs="Times New Roman"/>
          <w:sz w:val="24"/>
          <w:szCs w:val="24"/>
        </w:rPr>
        <w:t></w:t>
      </w:r>
      <w:r w:rsidRPr="008C4A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24</w:t>
      </w:r>
      <w:proofErr w:type="gramEnd"/>
      <w:r w:rsidRPr="008C4A9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C4A9A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8C4A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(2024). </w:t>
      </w:r>
      <w:r w:rsidRPr="008C4A9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Больше 80 процентов казахстанских детей имеют кариес</w:t>
      </w:r>
      <w:r w:rsidRPr="008C4A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Available at: </w:t>
      </w:r>
      <w:hyperlink r:id="rId8" w:tgtFrame="_new" w:history="1">
        <w:r w:rsidRPr="008C4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https://24.kz/ru/news/social/640016-bolshe-80-protsentov-kazakhstanskikh-detej-imeyut-karies</w:t>
        </w:r>
      </w:hyperlink>
      <w:r w:rsidRPr="008C4A9A">
        <w:rPr>
          <w:rFonts w:ascii="Times New Roman" w:eastAsia="Times New Roman" w:hAnsi="Times New Roman" w:cs="Times New Roman"/>
          <w:sz w:val="24"/>
          <w:szCs w:val="24"/>
        </w:rPr>
        <w:t xml:space="preserve"> (Accessed: 12 March 2025).</w:t>
      </w:r>
    </w:p>
    <w:p w:rsidR="00C603D8" w:rsidRPr="008C4A9A" w:rsidRDefault="00C603D8" w:rsidP="00E54594">
      <w:pPr>
        <w:pStyle w:val="a5"/>
        <w:rPr>
          <w:sz w:val="28"/>
          <w:szCs w:val="28"/>
        </w:rPr>
      </w:pPr>
    </w:p>
    <w:sectPr w:rsidR="00C603D8" w:rsidRPr="008C4A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05"/>
    <w:rsid w:val="00007BA9"/>
    <w:rsid w:val="00104F0B"/>
    <w:rsid w:val="00151626"/>
    <w:rsid w:val="00424EC7"/>
    <w:rsid w:val="00433ED0"/>
    <w:rsid w:val="00461209"/>
    <w:rsid w:val="004A5E7B"/>
    <w:rsid w:val="00531E9B"/>
    <w:rsid w:val="00594006"/>
    <w:rsid w:val="005C580E"/>
    <w:rsid w:val="0065644A"/>
    <w:rsid w:val="00763119"/>
    <w:rsid w:val="00811019"/>
    <w:rsid w:val="00844B0E"/>
    <w:rsid w:val="008C4A9A"/>
    <w:rsid w:val="009417CE"/>
    <w:rsid w:val="00973EC2"/>
    <w:rsid w:val="00991C68"/>
    <w:rsid w:val="009D5943"/>
    <w:rsid w:val="00A11DC3"/>
    <w:rsid w:val="00AF2CB7"/>
    <w:rsid w:val="00B42C00"/>
    <w:rsid w:val="00C603D8"/>
    <w:rsid w:val="00CC559E"/>
    <w:rsid w:val="00D52285"/>
    <w:rsid w:val="00DE05F9"/>
    <w:rsid w:val="00E06B08"/>
    <w:rsid w:val="00E22255"/>
    <w:rsid w:val="00E54594"/>
    <w:rsid w:val="00E70111"/>
    <w:rsid w:val="00EA7B05"/>
    <w:rsid w:val="00F6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5F59"/>
  <w15:chartTrackingRefBased/>
  <w15:docId w15:val="{483BC300-4EC0-48A0-A07D-E2C76392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9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9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9D59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5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unhideWhenUsed/>
    <w:rsid w:val="0046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A5E7B"/>
    <w:rPr>
      <w:i/>
      <w:iCs/>
    </w:rPr>
  </w:style>
  <w:style w:type="character" w:styleId="a7">
    <w:name w:val="Hyperlink"/>
    <w:basedOn w:val="a0"/>
    <w:uiPriority w:val="99"/>
    <w:semiHidden/>
    <w:unhideWhenUsed/>
    <w:rsid w:val="008C4A9A"/>
    <w:rPr>
      <w:color w:val="0000FF"/>
      <w:u w:val="single"/>
    </w:rPr>
  </w:style>
  <w:style w:type="table" w:styleId="a8">
    <w:name w:val="Table Grid"/>
    <w:basedOn w:val="a1"/>
    <w:uiPriority w:val="39"/>
    <w:rsid w:val="00CC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DE05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9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7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4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.kz/ru/news/social/640016-bolshe-80-protsentov-kazakhstanskikh-detej-imeyut-ka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c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a.org" TargetMode="External"/><Relationship Id="rId5" Type="http://schemas.openxmlformats.org/officeDocument/2006/relationships/hyperlink" Target="http://www.cdc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EB38F-48C5-46E6-A215-03C1A6A0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3889</Words>
  <Characters>22169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Chingiz</dc:creator>
  <cp:keywords/>
  <dc:description/>
  <cp:lastModifiedBy>Chingiz</cp:lastModifiedBy>
  <cp:revision>23</cp:revision>
  <dcterms:created xsi:type="dcterms:W3CDTF">2025-02-23T07:27:00Z</dcterms:created>
  <dcterms:modified xsi:type="dcterms:W3CDTF">2025-04-11T06:24:00Z</dcterms:modified>
</cp:coreProperties>
</file>