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BA" w:rsidRPr="00777FCA" w:rsidRDefault="00C10EBA" w:rsidP="0010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bookmarkStart w:id="0" w:name="_GoBack"/>
      <w:r w:rsidRPr="00777FCA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СЕМЕЙ ҚАЛАСЫНДАҒЫ “ТЕПЛОКОММУНЭНЕРГО” МЕМЛЕКЕТТІК КОММУНАЛДЫҚ КӘСІПОРНЫ</w:t>
      </w:r>
      <w:r w:rsidRPr="00777F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НДА ЭНЕРГИЯ ҮНЕМДЕУ ШАРАЛАРЫ</w:t>
      </w:r>
    </w:p>
    <w:bookmarkEnd w:id="0"/>
    <w:p w:rsidR="00777FCA" w:rsidRPr="00777FCA" w:rsidRDefault="00777FCA" w:rsidP="00105E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C1F7F" w:rsidRPr="00AC1F7F" w:rsidRDefault="00105E67" w:rsidP="00105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Арнайы пәндер оқытушылар</w:t>
      </w:r>
      <w:r w:rsidR="00AC1F7F" w:rsidRPr="00AC1F7F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C1F7F" w:rsidRPr="00AC1F7F">
        <w:rPr>
          <w:rFonts w:ascii="Times New Roman" w:hAnsi="Times New Roman" w:cs="Times New Roman"/>
          <w:sz w:val="28"/>
          <w:szCs w:val="28"/>
          <w:lang w:val="kk-KZ"/>
        </w:rPr>
        <w:t xml:space="preserve"> Саметова Г.Т.</w:t>
      </w:r>
      <w:r>
        <w:rPr>
          <w:rFonts w:ascii="Times New Roman" w:hAnsi="Times New Roman" w:cs="Times New Roman"/>
          <w:sz w:val="28"/>
          <w:szCs w:val="28"/>
          <w:lang w:val="kk-KZ"/>
        </w:rPr>
        <w:t>, Шаяхметова Ж. Б.</w:t>
      </w:r>
    </w:p>
    <w:p w:rsidR="00AC1F7F" w:rsidRPr="00AC1F7F" w:rsidRDefault="00AC1F7F" w:rsidP="00AC1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C1F7F">
        <w:rPr>
          <w:rFonts w:ascii="Times New Roman" w:hAnsi="Times New Roman" w:cs="Times New Roman"/>
          <w:sz w:val="28"/>
          <w:szCs w:val="28"/>
          <w:lang w:val="kk-KZ"/>
        </w:rPr>
        <w:t xml:space="preserve">«Электротехника колледжі» КМҚК   </w:t>
      </w:r>
    </w:p>
    <w:p w:rsidR="00AC1F7F" w:rsidRDefault="00AC1F7F" w:rsidP="00FC4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A3422" w:rsidRPr="00767CF6" w:rsidRDefault="008A3422" w:rsidP="005E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Энергетикалық өндіріссіз басқа өндіріс салалары жұмыс атқара алмайды. Сондықтан энергетиканың дамуына Қазақстанда көп көңіл бөлініп, жоғары </w:t>
      </w:r>
      <w:r w:rsidRPr="00767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талап қойылады. </w:t>
      </w:r>
    </w:p>
    <w:p w:rsidR="00787920" w:rsidRPr="00767CF6" w:rsidRDefault="00787920" w:rsidP="005E0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67C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Семей </w:t>
      </w:r>
      <w:r w:rsidR="008A3422" w:rsidRPr="00767C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</w:t>
      </w:r>
      <w:r w:rsidRPr="00767C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ылу</w:t>
      </w:r>
      <w:r w:rsidR="008A3422" w:rsidRPr="00767C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-э</w:t>
      </w:r>
      <w:r w:rsidRPr="00767C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лектр </w:t>
      </w:r>
      <w:r w:rsidR="008A3422" w:rsidRPr="00767C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</w:t>
      </w:r>
      <w:r w:rsidRPr="00767C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рталықтары</w:t>
      </w:r>
      <w:r w:rsidRPr="00767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- 1931 жылдан жұмыс істей бастаған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қала</w:t>
      </w:r>
      <w:r w:rsidRPr="00767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hyperlink r:id="rId7" w:tooltip="Кәсіпорын" w:history="1">
        <w:r w:rsidRPr="00767C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кәсіпорындары</w:t>
        </w:r>
      </w:hyperlink>
      <w:r w:rsidRPr="00767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мен тұрғындарын жылумен және электрмен қамтамасыз 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ететін коммуналдық кәсіпорындар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1934 ж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ылы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ТЭЦ-1, 1960 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80 ж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ылы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ТЭЦ-2, аумақтық 1 жылу қазандығы, Шульба жылу орт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алығы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салынды. Жылу-электр кәсіпорындары “Облыстық жылу-электр коммуналдық өндірістік бірлестігі”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құрамында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1965 жылдан “Алтайэнерго” өндірістік бірлестігінің құрамында болды. 1995 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96 ж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ылдары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“Семей 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ылу-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лектр 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рталықтары” ААҚ болып қайта құрылды. 1997 ж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ылы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орталықтар “</w:t>
      </w:r>
      <w:hyperlink r:id="rId8" w:tooltip="АЕS Кантри Пауэр Лимитед (мұндай бет жоқ)" w:history="1">
        <w:r w:rsidRPr="00767C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АЕS Кантри Пауэр Лимитед</w:t>
        </w:r>
      </w:hyperlink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” компаниясының құрамына өтуіне байланысты “</w:t>
      </w:r>
      <w:hyperlink r:id="rId9" w:tooltip="АЕS Семей жылу орталығы (мұндай бет жоқ)" w:history="1">
        <w:r w:rsidRPr="00767C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АЕS Семей жылу орталығы</w:t>
        </w:r>
      </w:hyperlink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” деп аталды. 2003 ж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ылы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тамызда оның орнына “Теплокоммунэнерго” мемлекеттік коммуналдық кәсіпорны құрылды. Оның құрамында 2 жылу-электр орт</w:t>
      </w:r>
      <w:r w:rsidR="008A3422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алығы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қуаты 10 Гкалдан асатын 6 жылу қазандығы,</w:t>
      </w:r>
      <w:r w:rsidRPr="00767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hyperlink r:id="rId10" w:tooltip="Ертіс" w:history="1">
        <w:r w:rsidRPr="00767C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Ертістің</w:t>
        </w:r>
      </w:hyperlink>
      <w:r w:rsidRPr="00767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жағалауын жылытатын 39 кіші қазандықтар жұмыс істейді. Жылу-электр орталықтары сағатына 1028 Гкал жылу, 18 МВт электр өндіреді. Кәсіпорында 1588 адам еңбек етеді.</w:t>
      </w:r>
    </w:p>
    <w:p w:rsidR="00B517E2" w:rsidRPr="00767CF6" w:rsidRDefault="00485F7C" w:rsidP="005E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Жылу электр станцияларына</w:t>
      </w:r>
      <w:r w:rsidRPr="00767C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 электр тоғын шығарумен </w:t>
      </w:r>
      <w:r w:rsidRPr="00767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қатар өндіріс пен тұрғын үйлерді арзан 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жылу көзімен қамтамасыз ету қатар жүреді. </w:t>
      </w:r>
      <w:r w:rsidR="00B517E2" w:rsidRPr="00767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ЖЭС-ның тұрақты ж</w:t>
      </w:r>
      <w:r w:rsidRPr="00767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ұ</w:t>
      </w:r>
      <w:r w:rsidR="00B517E2" w:rsidRPr="00767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мыс істеп тұруы үшін жабдықтары уақытымен </w:t>
      </w:r>
      <w:r w:rsidR="00B517E2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жөндеуден өткізіліп тұруы қажет. Пайдалану және жө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="00B517E2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деу жұмыстары сапалы жүргізілуі үшін өндірісті ұйымдастыруға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қажет жоғары білікті </w:t>
      </w:r>
      <w:r w:rsidR="00B517E2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мамандар, </w:t>
      </w:r>
      <w:r w:rsidR="00B517E2" w:rsidRPr="00767C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аспаптар мен жабдықтар, үлкен ассортиментті материалдар қолдану қажет </w:t>
      </w:r>
      <w:r w:rsidR="00B517E2" w:rsidRPr="00767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болады. Сонымен қатар</w:t>
      </w:r>
      <w:r w:rsidRPr="00767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,</w:t>
      </w:r>
      <w:r w:rsidR="00B517E2" w:rsidRPr="00767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 xml:space="preserve"> станциялардың жұмыс істеу тиімділігі</w:t>
      </w:r>
      <w:r w:rsidRPr="00767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н</w:t>
      </w:r>
      <w:r w:rsidR="00B517E2" w:rsidRPr="00767C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 xml:space="preserve"> арттыру үшін ондағы барлық шығындарды азайту қажет, ол үшін әрбір жұмыс атқарушы қондырғыларда энергияны үнемдеу шараларын ұйымдастырған жөн.</w:t>
      </w:r>
    </w:p>
    <w:p w:rsidR="00A93030" w:rsidRPr="00767CF6" w:rsidRDefault="00A93030" w:rsidP="005E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Энергетика саласында өзіндік қажеттілікке жалпы электр энергиясының 5-7%, ал тасымалдауға шамамен 9% шығындалады. </w:t>
      </w:r>
    </w:p>
    <w:p w:rsidR="00485F7C" w:rsidRPr="00767CF6" w:rsidRDefault="00A93030" w:rsidP="005E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r w:rsidR="00485F7C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ығындалатын электр энергиясы қондырғының түріне, оның параметрлеріне, жағылатын отын түріне тікелей тәуелді.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Бұл </w:t>
      </w:r>
      <w:r w:rsidR="00485F7C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электр энергиясы отынды ұнтақтауға және тасымалдауға, түтін сору және желдетуге, қоректік және айналымдық сорғыларға, жылытуға, ыстық суды айдау үшін қолданылатын желілік сорғыларға шығындалады, ал көмірмен жұмыс істейтін электр станцияларында - күл мен қожды әкету үшін қолданылатын багерлік және шайғыш сорғыларға жұмсалады. </w:t>
      </w:r>
    </w:p>
    <w:p w:rsidR="000C2144" w:rsidRPr="00767CF6" w:rsidRDefault="00A93030" w:rsidP="00FC4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</w:t>
      </w:r>
      <w:r w:rsidR="000C2144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энергия шығынын азайтуға бағытталған жалпы шаралар:</w:t>
      </w:r>
    </w:p>
    <w:p w:rsidR="000C2144" w:rsidRPr="00767CF6" w:rsidRDefault="000C2144" w:rsidP="00FC43F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желінің гидравликалық сипаттамаларына желдеткіштер мен сорғылардың сипаттамаларын сәйкестендіру;</w:t>
      </w:r>
    </w:p>
    <w:p w:rsidR="000C2144" w:rsidRPr="00767CF6" w:rsidRDefault="000C2144" w:rsidP="00FC43F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айналым санын және жұмыстық қалақтардың диаметрін азайту;</w:t>
      </w:r>
    </w:p>
    <w:p w:rsidR="000C2144" w:rsidRPr="00767CF6" w:rsidRDefault="000C2144" w:rsidP="00FC43F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кенеттен кеңею және тарылу, тік, әрі артық бұрылыстарды дұрыс орналастыру арқылы желідегі кедергілерді азайту, өткізгіш қималарды үлкейту;</w:t>
      </w:r>
    </w:p>
    <w:p w:rsidR="000C2144" w:rsidRPr="00767CF6" w:rsidRDefault="000C2144" w:rsidP="00FC43F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ақпаларды болдырмау үшін құбырлармен газ жолының тығыздығын арттыру;</w:t>
      </w:r>
    </w:p>
    <w:p w:rsidR="000C2144" w:rsidRPr="00767CF6" w:rsidRDefault="000C2144" w:rsidP="00FC43F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қуаты жоғары электрлік қозғалтқыштарды аз қуаттыға алмастыру.</w:t>
      </w:r>
    </w:p>
    <w:p w:rsidR="00A93030" w:rsidRPr="00767CF6" w:rsidRDefault="00A93030" w:rsidP="005E0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Жылумен жабдықтауды орталықтандыруда ірі мөлшерде энергияны үнемдеуге болады. Жылу электр орталығында өндірілген әрбір кВтˑсағ электр энергиясына шығындалатын шартты отынның меншікті шығыны 267 г.ш.о. құрайды.</w:t>
      </w:r>
    </w:p>
    <w:p w:rsidR="00B517E2" w:rsidRPr="00767CF6" w:rsidRDefault="00A93030" w:rsidP="00FC4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</w:t>
      </w:r>
      <w:r w:rsidR="00B517E2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нергияны үнемдеудің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негізгі бағыттары</w:t>
      </w:r>
      <w:r w:rsidR="00B517E2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60148E" w:rsidRPr="00767CF6" w:rsidRDefault="0060148E" w:rsidP="00FC43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көне қондырғыларды заманауи қондырғылармен алмастыру;</w:t>
      </w:r>
    </w:p>
    <w:p w:rsidR="0060148E" w:rsidRPr="00767CF6" w:rsidRDefault="0060148E" w:rsidP="00FC43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технологиялық процесстерді автоматтандыру деңгейін арттыру;</w:t>
      </w:r>
    </w:p>
    <w:p w:rsidR="0060148E" w:rsidRPr="00767CF6" w:rsidRDefault="0060148E" w:rsidP="00FC43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 желілерінің жұмысын тиімдендіру (және кернеуді арттыру);</w:t>
      </w:r>
    </w:p>
    <w:p w:rsidR="0060148E" w:rsidRPr="00767CF6" w:rsidRDefault="0060148E" w:rsidP="00FC43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шаң-тозаңдық қазандықтардың тұтандыру процесінде мазут шығынын азайту.</w:t>
      </w:r>
    </w:p>
    <w:p w:rsidR="004C4A49" w:rsidRPr="00767CF6" w:rsidRDefault="004C4A49" w:rsidP="005E06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67C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Электр стансасының жылулық бөлігіне қызмет көрсететін автоматты қорғау құрылғылары </w:t>
      </w:r>
      <w:r w:rsidR="00F90168" w:rsidRPr="00767C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767C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жылулық қорғаныстың болуы бу қазандықтарының, турбиналардың және көмекші жабдықтар жұмысының сенімділігін көтереді және қызмет көрсету аумағын кеңейту есебінен ЖЭО технологиялық цехтарындағы еңбек өнімділігін арттыруға септігін тигізеді.  </w:t>
      </w:r>
    </w:p>
    <w:p w:rsidR="00B517E2" w:rsidRPr="00767CF6" w:rsidRDefault="00B517E2" w:rsidP="00FC4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Қорыта келе</w:t>
      </w:r>
      <w:r w:rsidR="007D3119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жалпы жылулық және электр энергиясын өндіру үшін жұмыс істейтін </w:t>
      </w:r>
      <w:r w:rsidR="00E05B8E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Семей қаласындағы </w:t>
      </w:r>
      <w:r w:rsidR="00E05B8E" w:rsidRPr="00767C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“Теплокоммунэнерго” мемлекеттік коммуналдық кәсіпорны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жұмысының тиімділігін </w:t>
      </w:r>
      <w:r w:rsidR="00A93030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және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пайдалы әсер коэффициентін арттыру үшін ішкі </w:t>
      </w:r>
      <w:r w:rsidR="00A93030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қажеттіліктерге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шығындалатын энергияның мөлшерін азайту керек. Ол үшін заманауи энергия үнемдеуші технологияларды қолдану</w:t>
      </w:r>
      <w:r w:rsidR="00E05B8E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автоматтандыру процессін </w:t>
      </w:r>
      <w:r w:rsidR="00E05B8E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жетілдіру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қажет. Сонда энергия үнемдеу шараларын сатылай енгізе отырып өндірілетін энергияны да, тасталынатын зиянды қалдықтарды да азайтуға болады. Осылайша елдің экономикалық және экологиялық күйі артады.   </w:t>
      </w:r>
    </w:p>
    <w:p w:rsidR="00B517E2" w:rsidRPr="00767CF6" w:rsidRDefault="00B517E2" w:rsidP="00FC4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B517E2" w:rsidRPr="00767CF6" w:rsidRDefault="00E05B8E" w:rsidP="00767C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Пайдаланылған</w:t>
      </w:r>
      <w:r w:rsidR="00B517E2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әдебиеттер</w:t>
      </w:r>
    </w:p>
    <w:p w:rsidR="00B517E2" w:rsidRPr="00767CF6" w:rsidRDefault="00B517E2" w:rsidP="00FC43F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Арутюня</w:t>
      </w:r>
      <w:r w:rsidR="00767CF6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А.А. Основы энергосбережения.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М.</w:t>
      </w:r>
      <w:r w:rsidR="00767CF6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2007</w:t>
      </w:r>
      <w:r w:rsidR="00767CF6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517E2" w:rsidRPr="00767CF6" w:rsidRDefault="00B517E2" w:rsidP="00FC43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Беляев Л.С. и др. Мировая энергетика и переход к устойчивому развитию. Н</w:t>
      </w:r>
      <w:r w:rsidR="00767CF6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Наука, 2000.-269с.</w:t>
      </w:r>
    </w:p>
    <w:p w:rsidR="00B517E2" w:rsidRPr="00767CF6" w:rsidRDefault="00B517E2" w:rsidP="00FC43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Промышленная теплоэнергетика и теплотехника. Справочник / Под общ.ред. В.А.Григорьева, В.М.Зорина - 2-е изд., перераб. - М.: Энергоатомиздат, 1991.</w:t>
      </w:r>
    </w:p>
    <w:p w:rsidR="00320D4A" w:rsidRPr="00767CF6" w:rsidRDefault="00B517E2" w:rsidP="00C10E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4. 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 А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Энергосбережение в промышленных и коммунальных предприятиях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BE0C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767CF6"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76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sectPr w:rsidR="00320D4A" w:rsidRPr="00767CF6" w:rsidSect="007C31E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D4" w:rsidRDefault="004B13D4" w:rsidP="00482C9D">
      <w:pPr>
        <w:spacing w:after="0" w:line="240" w:lineRule="auto"/>
      </w:pPr>
      <w:r>
        <w:separator/>
      </w:r>
    </w:p>
  </w:endnote>
  <w:endnote w:type="continuationSeparator" w:id="0">
    <w:p w:rsidR="004B13D4" w:rsidRDefault="004B13D4" w:rsidP="0048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D4" w:rsidRDefault="004B13D4" w:rsidP="00482C9D">
      <w:pPr>
        <w:spacing w:after="0" w:line="240" w:lineRule="auto"/>
      </w:pPr>
      <w:r>
        <w:separator/>
      </w:r>
    </w:p>
  </w:footnote>
  <w:footnote w:type="continuationSeparator" w:id="0">
    <w:p w:rsidR="004B13D4" w:rsidRDefault="004B13D4" w:rsidP="0048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F51"/>
    <w:multiLevelType w:val="multilevel"/>
    <w:tmpl w:val="B13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A17BF"/>
    <w:multiLevelType w:val="hybridMultilevel"/>
    <w:tmpl w:val="72C8DFEA"/>
    <w:lvl w:ilvl="0" w:tplc="DAF216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7FE3"/>
    <w:multiLevelType w:val="hybridMultilevel"/>
    <w:tmpl w:val="E8A49502"/>
    <w:lvl w:ilvl="0" w:tplc="DAF21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45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04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8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20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EA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0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C8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48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0979E3"/>
    <w:multiLevelType w:val="hybridMultilevel"/>
    <w:tmpl w:val="9C68D27C"/>
    <w:lvl w:ilvl="0" w:tplc="9190CEAE">
      <w:numFmt w:val="bullet"/>
      <w:lvlText w:val="-"/>
      <w:lvlJc w:val="left"/>
      <w:pPr>
        <w:ind w:left="154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626677"/>
    <w:multiLevelType w:val="hybridMultilevel"/>
    <w:tmpl w:val="65721F02"/>
    <w:lvl w:ilvl="0" w:tplc="D7124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E5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4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DAA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43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02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82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81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67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761ACF"/>
    <w:multiLevelType w:val="hybridMultilevel"/>
    <w:tmpl w:val="6BE6B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D15EBB"/>
    <w:multiLevelType w:val="hybridMultilevel"/>
    <w:tmpl w:val="132AA78E"/>
    <w:lvl w:ilvl="0" w:tplc="DAF216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6DAD"/>
    <w:multiLevelType w:val="hybridMultilevel"/>
    <w:tmpl w:val="B6EE566C"/>
    <w:lvl w:ilvl="0" w:tplc="DAF216C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136FC9"/>
    <w:multiLevelType w:val="hybridMultilevel"/>
    <w:tmpl w:val="8B3C05B8"/>
    <w:lvl w:ilvl="0" w:tplc="AC7E0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C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E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6B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C5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83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52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0B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10D4798"/>
    <w:multiLevelType w:val="hybridMultilevel"/>
    <w:tmpl w:val="C56EAD90"/>
    <w:lvl w:ilvl="0" w:tplc="DAF216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63"/>
    <w:rsid w:val="00024980"/>
    <w:rsid w:val="000655FE"/>
    <w:rsid w:val="000721DA"/>
    <w:rsid w:val="00082349"/>
    <w:rsid w:val="000C2144"/>
    <w:rsid w:val="00105E67"/>
    <w:rsid w:val="001A7B52"/>
    <w:rsid w:val="001C6EAA"/>
    <w:rsid w:val="001D3D75"/>
    <w:rsid w:val="001F3C56"/>
    <w:rsid w:val="00223D42"/>
    <w:rsid w:val="00256763"/>
    <w:rsid w:val="00282EFB"/>
    <w:rsid w:val="002A3003"/>
    <w:rsid w:val="002C2590"/>
    <w:rsid w:val="00307773"/>
    <w:rsid w:val="00320D4A"/>
    <w:rsid w:val="003220CF"/>
    <w:rsid w:val="00334180"/>
    <w:rsid w:val="00340D54"/>
    <w:rsid w:val="00347F6B"/>
    <w:rsid w:val="003622C8"/>
    <w:rsid w:val="00363DAA"/>
    <w:rsid w:val="00393FED"/>
    <w:rsid w:val="003D069F"/>
    <w:rsid w:val="003D3359"/>
    <w:rsid w:val="004320C6"/>
    <w:rsid w:val="0044612A"/>
    <w:rsid w:val="004661A3"/>
    <w:rsid w:val="004772AA"/>
    <w:rsid w:val="00477D08"/>
    <w:rsid w:val="00482C9D"/>
    <w:rsid w:val="00485F7C"/>
    <w:rsid w:val="004B13D4"/>
    <w:rsid w:val="004C4A49"/>
    <w:rsid w:val="004E2BE8"/>
    <w:rsid w:val="00532B80"/>
    <w:rsid w:val="0054108A"/>
    <w:rsid w:val="00566EEE"/>
    <w:rsid w:val="00590475"/>
    <w:rsid w:val="00592414"/>
    <w:rsid w:val="005E068B"/>
    <w:rsid w:val="005E632A"/>
    <w:rsid w:val="0060148E"/>
    <w:rsid w:val="00621674"/>
    <w:rsid w:val="006A3647"/>
    <w:rsid w:val="006D1EEB"/>
    <w:rsid w:val="006E16F4"/>
    <w:rsid w:val="00722975"/>
    <w:rsid w:val="00741B61"/>
    <w:rsid w:val="00746CAE"/>
    <w:rsid w:val="00747916"/>
    <w:rsid w:val="00762CBF"/>
    <w:rsid w:val="00767CF6"/>
    <w:rsid w:val="007747FF"/>
    <w:rsid w:val="00777FCA"/>
    <w:rsid w:val="00787920"/>
    <w:rsid w:val="007C31EE"/>
    <w:rsid w:val="007C4F84"/>
    <w:rsid w:val="007D3119"/>
    <w:rsid w:val="008151E8"/>
    <w:rsid w:val="00822873"/>
    <w:rsid w:val="008555F7"/>
    <w:rsid w:val="00892423"/>
    <w:rsid w:val="008965EB"/>
    <w:rsid w:val="008A3422"/>
    <w:rsid w:val="008A37F1"/>
    <w:rsid w:val="008B2076"/>
    <w:rsid w:val="00900DCC"/>
    <w:rsid w:val="009322CB"/>
    <w:rsid w:val="009825EB"/>
    <w:rsid w:val="00994A04"/>
    <w:rsid w:val="009E4200"/>
    <w:rsid w:val="009F271C"/>
    <w:rsid w:val="00A10901"/>
    <w:rsid w:val="00A17B85"/>
    <w:rsid w:val="00A214AD"/>
    <w:rsid w:val="00A623E9"/>
    <w:rsid w:val="00A93030"/>
    <w:rsid w:val="00AA7C7E"/>
    <w:rsid w:val="00AC1F7F"/>
    <w:rsid w:val="00AC57AF"/>
    <w:rsid w:val="00B33C85"/>
    <w:rsid w:val="00B34E27"/>
    <w:rsid w:val="00B517E2"/>
    <w:rsid w:val="00BE0C88"/>
    <w:rsid w:val="00BE30FC"/>
    <w:rsid w:val="00BF37F8"/>
    <w:rsid w:val="00C008FA"/>
    <w:rsid w:val="00C10EBA"/>
    <w:rsid w:val="00C44842"/>
    <w:rsid w:val="00C86F82"/>
    <w:rsid w:val="00C90C67"/>
    <w:rsid w:val="00C94D9E"/>
    <w:rsid w:val="00CD2E0E"/>
    <w:rsid w:val="00CE12D2"/>
    <w:rsid w:val="00CE2214"/>
    <w:rsid w:val="00D07D98"/>
    <w:rsid w:val="00D25FAE"/>
    <w:rsid w:val="00D458DE"/>
    <w:rsid w:val="00D54473"/>
    <w:rsid w:val="00D903ED"/>
    <w:rsid w:val="00DB03A4"/>
    <w:rsid w:val="00DC0F74"/>
    <w:rsid w:val="00DE4E87"/>
    <w:rsid w:val="00E05B8E"/>
    <w:rsid w:val="00E2685C"/>
    <w:rsid w:val="00E4329C"/>
    <w:rsid w:val="00E46503"/>
    <w:rsid w:val="00E521C6"/>
    <w:rsid w:val="00E61D33"/>
    <w:rsid w:val="00E85F74"/>
    <w:rsid w:val="00E90005"/>
    <w:rsid w:val="00F014A2"/>
    <w:rsid w:val="00F1328A"/>
    <w:rsid w:val="00F90168"/>
    <w:rsid w:val="00F942A9"/>
    <w:rsid w:val="00F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F642"/>
  <w15:docId w15:val="{FDBBFFBB-B53A-4463-BB8B-EA34E1A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5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7E2"/>
  </w:style>
  <w:style w:type="character" w:customStyle="1" w:styleId="fontstyle14">
    <w:name w:val="fontstyle14"/>
    <w:basedOn w:val="a0"/>
    <w:rsid w:val="00B517E2"/>
  </w:style>
  <w:style w:type="paragraph" w:customStyle="1" w:styleId="listparagraph">
    <w:name w:val="listparagraph"/>
    <w:basedOn w:val="a"/>
    <w:rsid w:val="00B5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7E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1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5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cite-backlink">
    <w:name w:val="mw-cite-backlink"/>
    <w:basedOn w:val="a0"/>
    <w:rsid w:val="00282EFB"/>
  </w:style>
  <w:style w:type="character" w:customStyle="1" w:styleId="cite-accessibility-label1">
    <w:name w:val="cite-accessibility-label1"/>
    <w:basedOn w:val="a0"/>
    <w:rsid w:val="00282EFB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282EFB"/>
  </w:style>
  <w:style w:type="character" w:styleId="a5">
    <w:name w:val="FollowedHyperlink"/>
    <w:basedOn w:val="a0"/>
    <w:uiPriority w:val="99"/>
    <w:semiHidden/>
    <w:unhideWhenUsed/>
    <w:rsid w:val="00282EFB"/>
    <w:rPr>
      <w:color w:val="800080"/>
      <w:u w:val="single"/>
    </w:rPr>
  </w:style>
  <w:style w:type="paragraph" w:customStyle="1" w:styleId="postedit-container">
    <w:name w:val="postedit-container"/>
    <w:basedOn w:val="a"/>
    <w:rsid w:val="0028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edit">
    <w:name w:val="postedit"/>
    <w:basedOn w:val="a"/>
    <w:rsid w:val="00282EF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ru-RU"/>
    </w:rPr>
  </w:style>
  <w:style w:type="paragraph" w:customStyle="1" w:styleId="postedit-icon">
    <w:name w:val="postedit-icon"/>
    <w:basedOn w:val="a"/>
    <w:rsid w:val="00282EFB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icon-checkmark">
    <w:name w:val="postedit-icon-checkmark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t-close">
    <w:name w:val="postedit-close"/>
    <w:basedOn w:val="a"/>
    <w:rsid w:val="00282EFB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suggestions">
    <w:name w:val="suggestions"/>
    <w:basedOn w:val="a"/>
    <w:rsid w:val="0028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282EF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282E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282EFB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282EFB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ferencetooltip">
    <w:name w:val="referencetooltip"/>
    <w:basedOn w:val="a"/>
    <w:rsid w:val="00282EF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tflipped">
    <w:name w:val="rtflipped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282EFB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i-button">
    <w:name w:val="mw-ui-button"/>
    <w:basedOn w:val="a"/>
    <w:rsid w:val="00282EFB"/>
    <w:pPr>
      <w:pBdr>
        <w:top w:val="single" w:sz="6" w:space="6" w:color="A2A9B1"/>
        <w:left w:val="single" w:sz="6" w:space="12" w:color="A2A9B1"/>
        <w:bottom w:val="single" w:sz="6" w:space="6" w:color="A2A9B1"/>
        <w:right w:val="single" w:sz="6" w:space="12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ru-RU"/>
    </w:rPr>
  </w:style>
  <w:style w:type="paragraph" w:customStyle="1" w:styleId="mw-ui-icon">
    <w:name w:val="mw-ui-icon"/>
    <w:basedOn w:val="a"/>
    <w:rsid w:val="00282EF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menu">
    <w:name w:val="uls-menu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ls-search-wrapper-wrapper">
    <w:name w:val="uls-search-wrapper-wrapper"/>
    <w:basedOn w:val="a"/>
    <w:rsid w:val="00282EF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icon-back">
    <w:name w:val="uls-icon-back"/>
    <w:basedOn w:val="a"/>
    <w:rsid w:val="00282EFB"/>
    <w:pPr>
      <w:pBdr>
        <w:right w:val="single" w:sz="6" w:space="0" w:color="C9C9C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-closebutton">
    <w:name w:val="cn-closebutton"/>
    <w:basedOn w:val="a"/>
    <w:rsid w:val="00282EFB"/>
    <w:pPr>
      <w:spacing w:before="100" w:beforeAutospacing="1" w:after="100" w:afterAutospacing="1" w:line="240" w:lineRule="auto"/>
      <w:ind w:firstLine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loading-overlay">
    <w:name w:val="ve-init-mw-desktoparticletarget-loading-overlay"/>
    <w:basedOn w:val="a"/>
    <w:rsid w:val="00282E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progress">
    <w:name w:val="ve-init-mw-desktoparticletarget-progress"/>
    <w:basedOn w:val="a"/>
    <w:rsid w:val="00282EFB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progress-bar">
    <w:name w:val="ve-init-mw-desktoparticletarget-progress-bar"/>
    <w:basedOn w:val="a"/>
    <w:rsid w:val="00282EFB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">
    <w:name w:val="mw-editsection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-divider">
    <w:name w:val="mw-editsection-divider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mw-mmv-overlay">
    <w:name w:val="mw-mmv-overlay"/>
    <w:basedOn w:val="a"/>
    <w:rsid w:val="00282E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filepage-buttons">
    <w:name w:val="mw-mmv-filepage-buttons"/>
    <w:basedOn w:val="a"/>
    <w:rsid w:val="00282EF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indicators">
    <w:name w:val="mw-indicators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ui-surface">
    <w:name w:val="ve-ui-surface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editablecontent">
    <w:name w:val="ve-init-mw-desktoparticletarget-editablecontent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">
    <w:name w:val="mw-mmv-view-expanded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">
    <w:name w:val="mw-mmv-view-config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">
    <w:name w:val="uls-trigger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-accessibility-label">
    <w:name w:val="cite-accessibility-label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pecial-query1">
    <w:name w:val="special-query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282EFB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w-indicators1">
    <w:name w:val="mw-indicators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ui-surface1">
    <w:name w:val="ve-ui-surface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init-mw-desktoparticletarget-editablecontent1">
    <w:name w:val="ve-init-mw-desktoparticletarget-editablecontent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ui-surface2">
    <w:name w:val="ve-ui-surface2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3">
    <w:name w:val="special-query3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1">
    <w:name w:val="mw-mmv-view-expanded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1">
    <w:name w:val="mw-mmv-view-config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1">
    <w:name w:val="uls-trigger1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2">
    <w:name w:val="uls-trigger2"/>
    <w:basedOn w:val="a"/>
    <w:rsid w:val="0028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4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2C9D"/>
  </w:style>
  <w:style w:type="paragraph" w:styleId="a9">
    <w:name w:val="footer"/>
    <w:basedOn w:val="a"/>
    <w:link w:val="aa"/>
    <w:uiPriority w:val="99"/>
    <w:unhideWhenUsed/>
    <w:rsid w:val="0048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C9D"/>
  </w:style>
  <w:style w:type="paragraph" w:styleId="ab">
    <w:name w:val="Balloon Text"/>
    <w:basedOn w:val="a"/>
    <w:link w:val="ac"/>
    <w:uiPriority w:val="99"/>
    <w:semiHidden/>
    <w:unhideWhenUsed/>
    <w:rsid w:val="00A9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03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0%90%D0%95S_%D0%9A%D0%B0%D0%BD%D1%82%D1%80%D0%B8_%D0%9F%D0%B0%D1%83%D1%8D%D1%80_%D0%9B%D0%B8%D0%BC%D0%B8%D1%82%D0%B5%D0%B4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A%D3%99%D1%81%D1%96%D0%BF%D0%BE%D1%80%D1%8B%D0%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k.wikipedia.org/wiki/%D0%95%D1%80%D1%82%D1%96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/index.php?title=%D0%90%D0%95S_%D0%A1%D0%B5%D0%BC%D0%B5%D0%B9_%D0%B6%D1%8B%D0%BB%D1%83_%D0%BE%D1%80%D1%82%D0%B0%D0%BB%D1%8B%D2%93%D1%8B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PC</cp:lastModifiedBy>
  <cp:revision>5</cp:revision>
  <cp:lastPrinted>2016-12-22T03:49:00Z</cp:lastPrinted>
  <dcterms:created xsi:type="dcterms:W3CDTF">2020-03-17T07:02:00Z</dcterms:created>
  <dcterms:modified xsi:type="dcterms:W3CDTF">2021-03-26T10:27:00Z</dcterms:modified>
</cp:coreProperties>
</file>