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3016" w14:textId="3B9D82F1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Еркін Сулеймен Сүндеттілаұлы </w:t>
      </w:r>
    </w:p>
    <w:p w14:paraId="4A3923DB" w14:textId="5754BC0D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  <w:lang w:val="kk-KZ"/>
        </w:rPr>
        <w:t>Букпанов Мерей Кенжебекұлы</w:t>
      </w:r>
    </w:p>
    <w:p w14:paraId="536BD213" w14:textId="6F66AD94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+77470799564</w:t>
      </w:r>
    </w:p>
    <w:p w14:paraId="7E7457BB" w14:textId="77777777" w:rsidR="00EC09CA" w:rsidRP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</w:rPr>
        <w:t>suleimenerkin488@gmail.com</w:t>
      </w:r>
    </w:p>
    <w:p w14:paraId="08C760CB" w14:textId="17F70664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докторант специальности "Теплоэнергетика"</w:t>
      </w:r>
    </w:p>
    <w:p w14:paraId="3ABE37B3" w14:textId="52216846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кафедра Теплофизики</w:t>
      </w:r>
    </w:p>
    <w:p w14:paraId="3D4CEEFC" w14:textId="77777777" w:rsidR="00EC09CA" w:rsidRDefault="00EC09CA" w:rsidP="00EC09CA">
      <w:pPr>
        <w:pStyle w:val="ae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Алматы,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КазНУ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им. аль-Фараби</w:t>
      </w:r>
    </w:p>
    <w:p w14:paraId="4B790E71" w14:textId="77777777" w:rsidR="00EC09CA" w:rsidRDefault="00EC09CA" w:rsidP="00EC09CA">
      <w:pPr>
        <w:pStyle w:val="ae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научный руководитель:</w:t>
      </w:r>
    </w:p>
    <w:p w14:paraId="4753C18C" w14:textId="77777777" w:rsid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к.т.н., доцент Туманов Исакул Елегенович</w:t>
      </w:r>
    </w:p>
    <w:p w14:paraId="34399453" w14:textId="77777777" w:rsidR="00EC09CA" w:rsidRDefault="00EC09CA" w:rsidP="00EC09CA">
      <w:pPr>
        <w:pStyle w:val="ae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Алматы,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КазНУ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им. аль-Фараби</w:t>
      </w:r>
    </w:p>
    <w:p w14:paraId="2B77FDF5" w14:textId="77777777" w:rsidR="00EC09CA" w:rsidRPr="00EC09CA" w:rsidRDefault="00EC09CA" w:rsidP="00EC09C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1539E7" w14:textId="3942941E" w:rsidR="004D116F" w:rsidRDefault="00EC09CA" w:rsidP="00EC09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C09CA">
        <w:rPr>
          <w:rFonts w:ascii="Times New Roman" w:hAnsi="Times New Roman" w:cs="Times New Roman"/>
          <w:b/>
          <w:bCs/>
          <w:sz w:val="24"/>
          <w:szCs w:val="24"/>
        </w:rPr>
        <w:t>ТЕПЛОЭНЕРГЕТИКА КАЗАХСТАНА В ЭПОХУ ПЕРЕМЕН: ОТ СТАРЕЮЩЕЙ ИНФРАСТРУКТУРЫ К НОВЫМ РЕШЕНИЯМ</w:t>
      </w:r>
    </w:p>
    <w:p w14:paraId="1FC68177" w14:textId="77777777" w:rsidR="00C26AD1" w:rsidRPr="00C26AD1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26AD1">
        <w:rPr>
          <w:rFonts w:ascii="Times New Roman" w:hAnsi="Times New Roman" w:cs="Times New Roman"/>
          <w:sz w:val="24"/>
          <w:szCs w:val="24"/>
        </w:rPr>
        <w:t>В Казахстане энергопотребление и выработка электроэнергии стабильно растут: по итогам 2024 года электростанции страны произвели рекордные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 xml:space="preserve">117,9 млрд </w:t>
      </w:r>
      <w:proofErr w:type="spellStart"/>
      <w:r w:rsidRPr="00C26AD1">
        <w:rPr>
          <w:rFonts w:ascii="Times New Roman" w:hAnsi="Times New Roman" w:cs="Times New Roman"/>
          <w:b/>
          <w:bCs/>
          <w:sz w:val="24"/>
          <w:szCs w:val="24"/>
        </w:rPr>
        <w:t>кВт·ч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, что на 4,3% больше уровня 2023 года. При этом более трети потребления (36,5%) приходится на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бытово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>-коммунальный сектор, около четверти — на транспорт, и примерно 22% — на промышленность. Основной источник энергии – ископаемые: около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>3/4 всей выработки электроэнергии получают тепловые станции на угле</w:t>
      </w:r>
      <w:r w:rsidRPr="00C26AD1">
        <w:rPr>
          <w:rFonts w:ascii="Times New Roman" w:hAnsi="Times New Roman" w:cs="Times New Roman"/>
          <w:sz w:val="24"/>
          <w:szCs w:val="24"/>
        </w:rPr>
        <w:t> (74,9% в 2024), а доля газа и нефтепродуктов невелика. Регулирование и инвестиционные планы государства нацелены на наращивание как традиционных генерирующих мощностей (т. н. базовой нагрузки), так и возобновляемых источников (ветер, солнце, биомасса).</w:t>
      </w:r>
    </w:p>
    <w:p w14:paraId="1D617FB5" w14:textId="77777777" w:rsidR="00C26AD1" w:rsidRPr="00C26AD1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26AD1">
        <w:rPr>
          <w:rFonts w:ascii="Times New Roman" w:hAnsi="Times New Roman" w:cs="Times New Roman"/>
          <w:sz w:val="24"/>
          <w:szCs w:val="24"/>
        </w:rPr>
        <w:t>Однако перед отраслью стоят серьёзные проблемы: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>износ оборудования</w:t>
      </w:r>
      <w:r w:rsidRPr="00C26AD1">
        <w:rPr>
          <w:rFonts w:ascii="Times New Roman" w:hAnsi="Times New Roman" w:cs="Times New Roman"/>
          <w:sz w:val="24"/>
          <w:szCs w:val="24"/>
        </w:rPr>
        <w:t> (до 56% на ТЭС и ГЭС, 65% в распределительных сетях), высокие сетевые потери (~11%) и региональные дефициты мощности (южный регион регулярно испытывает нехватку электричества зимой). Эти факторы усугубляются зависимостью от угля и недостаточными обновлениями. Углеродный след энергетики велик: энергетический сектор формирует подавляющую долю парниковых выбросов Казахстана, общие же совокупные выбросы страны (340,8 млн т CO₂</w:t>
      </w:r>
      <w:r w:rsidRPr="00C26AD1">
        <w:rPr>
          <w:rFonts w:ascii="Times New Roman" w:hAnsi="Times New Roman" w:cs="Times New Roman"/>
          <w:sz w:val="24"/>
          <w:szCs w:val="24"/>
        </w:rPr>
        <w:noBreakHyphen/>
        <w:t>экв. в 2021) имеют тенденцию к снижению.</w:t>
      </w:r>
    </w:p>
    <w:p w14:paraId="406D158D" w14:textId="77777777" w:rsidR="00C26AD1" w:rsidRPr="00C26AD1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26AD1">
        <w:rPr>
          <w:rFonts w:ascii="Times New Roman" w:hAnsi="Times New Roman" w:cs="Times New Roman"/>
          <w:sz w:val="24"/>
          <w:szCs w:val="24"/>
        </w:rPr>
        <w:t>Государственные программы стремятся решить эти задачи: утверждена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>Стратегия углеродной нейтральности к 2060 году</w:t>
      </w:r>
      <w:r w:rsidRPr="00C26AD1">
        <w:rPr>
          <w:rFonts w:ascii="Times New Roman" w:hAnsi="Times New Roman" w:cs="Times New Roman"/>
          <w:sz w:val="24"/>
          <w:szCs w:val="24"/>
        </w:rPr>
        <w:t> (президентский указ 2023 г.) и планы по расширению «чистой» энергетики (цели – 15% ВИЭ к 2030, 50% к 2050). Национальные проекты предусматривают масштабную модернизацию электросетей и ТЭС (на 2024–2029 гг. инвестировано десятки трлн тенге) и строительство новых ТЭС и энергоблоков. За 2024–2025 гг. введены большие мощности: например, блок 500 МВт на Экибастузской ГРЭС</w:t>
      </w:r>
      <w:r w:rsidRPr="00C26AD1">
        <w:rPr>
          <w:rFonts w:ascii="Times New Roman" w:hAnsi="Times New Roman" w:cs="Times New Roman"/>
          <w:sz w:val="24"/>
          <w:szCs w:val="24"/>
        </w:rPr>
        <w:noBreakHyphen/>
        <w:t xml:space="preserve">1, подписание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инвестсоглашений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на ввод ещё ~1,4 ГВт (новые блоки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Аксусской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ГРЭС, Карагандинской ТЭЦ, ТЭЦ-3, ГРЭС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Топар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). На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долгосрок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намечены ТЭС по «чистому углю», газотурбинные установки и АЭС, а также соединительные ЛЭП («Север–Юг», «Запад–Восток»).</w:t>
      </w:r>
    </w:p>
    <w:p w14:paraId="33E0910C" w14:textId="77777777" w:rsidR="00C26AD1" w:rsidRPr="00C26AD1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26AD1">
        <w:rPr>
          <w:rFonts w:ascii="Times New Roman" w:hAnsi="Times New Roman" w:cs="Times New Roman"/>
          <w:b/>
          <w:bCs/>
          <w:sz w:val="24"/>
          <w:szCs w:val="24"/>
        </w:rPr>
        <w:t>Основные риски</w:t>
      </w:r>
      <w:r w:rsidRPr="00C26AD1">
        <w:rPr>
          <w:rFonts w:ascii="Times New Roman" w:hAnsi="Times New Roman" w:cs="Times New Roman"/>
          <w:sz w:val="24"/>
          <w:szCs w:val="24"/>
        </w:rPr>
        <w:t xml:space="preserve"> связаны с продолжающейся зависимостью экономики от устаревшего угольного парка, сезонными дефицитами (особенно на юге) и возможными сбоями в энергоснабжении. Если рост потребления (10–12% за 5 лет) опередит модернизацию, дефицит в пиковой нагрузке может удвоиться (по оценке экспертов до ~5 млрд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в 2025).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>Инвестиции</w:t>
      </w:r>
      <w:r w:rsidRPr="00C26AD1">
        <w:rPr>
          <w:rFonts w:ascii="Times New Roman" w:hAnsi="Times New Roman" w:cs="Times New Roman"/>
          <w:sz w:val="24"/>
          <w:szCs w:val="24"/>
        </w:rPr>
        <w:t> в сеть и энергоэффективность, диверсификация генерации (газовые и возобновляемые) и готовность к климатической политике станут критическими факторами снижения этих рисков.</w:t>
      </w:r>
    </w:p>
    <w:p w14:paraId="4929567F" w14:textId="77777777" w:rsidR="00C26AD1" w:rsidRPr="00C26AD1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26AD1">
        <w:rPr>
          <w:rFonts w:ascii="Times New Roman" w:hAnsi="Times New Roman" w:cs="Times New Roman"/>
          <w:sz w:val="24"/>
          <w:szCs w:val="24"/>
        </w:rPr>
        <w:t>Инициативы по «зеленому переходу» реализуются: с 2018 г. введена аукционная модель отбора ВИЭ</w:t>
      </w:r>
      <w:r w:rsidRPr="00C26AD1">
        <w:rPr>
          <w:rFonts w:ascii="Times New Roman" w:hAnsi="Times New Roman" w:cs="Times New Roman"/>
          <w:sz w:val="24"/>
          <w:szCs w:val="24"/>
        </w:rPr>
        <w:noBreakHyphen/>
        <w:t>проектов, благодаря которой на 2018–2024 гг. законтрактовано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 xml:space="preserve">4 525 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МВт</w:t>
      </w:r>
      <w:r w:rsidRPr="00C26AD1">
        <w:rPr>
          <w:rFonts w:ascii="Times New Roman" w:hAnsi="Times New Roman" w:cs="Times New Roman"/>
          <w:sz w:val="24"/>
          <w:szCs w:val="24"/>
        </w:rPr>
        <w:t> возобновляемой генерации. К сентябрю 2025 г. в работе – </w:t>
      </w:r>
      <w:r w:rsidRPr="00C26AD1">
        <w:rPr>
          <w:rFonts w:ascii="Times New Roman" w:hAnsi="Times New Roman" w:cs="Times New Roman"/>
          <w:b/>
          <w:bCs/>
          <w:sz w:val="24"/>
          <w:szCs w:val="24"/>
        </w:rPr>
        <w:t>158 объектов ВИЭ</w:t>
      </w:r>
      <w:r w:rsidRPr="00C26AD1">
        <w:rPr>
          <w:rFonts w:ascii="Times New Roman" w:hAnsi="Times New Roman" w:cs="Times New Roman"/>
          <w:sz w:val="24"/>
          <w:szCs w:val="24"/>
        </w:rPr>
        <w:t xml:space="preserve"> суммарной мощностью 3 248 МВт. Проводятся аукционы больших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ветропарков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(например, 1 ГВт со строй. накопителями победил проект с ценой 18,72 тенге/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>). Государство запустило и масштабные проекты: повышение пропускной способности линий (линия 220 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«Западно-Казахстанский энергоблок – Атырау –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Мангистау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»), строительство импульсных ЛЭП (Север–Юг и проч.) и сеть «чистых» ТЭС (см. далее). Эти и другие шаги заложили предпосылки для снижения </w:t>
      </w:r>
      <w:proofErr w:type="spellStart"/>
      <w:r w:rsidRPr="00C26AD1">
        <w:rPr>
          <w:rFonts w:ascii="Times New Roman" w:hAnsi="Times New Roman" w:cs="Times New Roman"/>
          <w:sz w:val="24"/>
          <w:szCs w:val="24"/>
        </w:rPr>
        <w:t>углеродоёмкости</w:t>
      </w:r>
      <w:proofErr w:type="spellEnd"/>
      <w:r w:rsidRPr="00C26AD1">
        <w:rPr>
          <w:rFonts w:ascii="Times New Roman" w:hAnsi="Times New Roman" w:cs="Times New Roman"/>
          <w:sz w:val="24"/>
          <w:szCs w:val="24"/>
        </w:rPr>
        <w:t xml:space="preserve"> электроэнергетики.</w:t>
      </w:r>
    </w:p>
    <w:p w14:paraId="593DAA1C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B491E">
        <w:rPr>
          <w:rFonts w:ascii="Times New Roman" w:hAnsi="Times New Roman" w:cs="Times New Roman"/>
          <w:b/>
          <w:bCs/>
          <w:sz w:val="24"/>
          <w:szCs w:val="24"/>
        </w:rPr>
        <w:t>Основные показатели энергопотребления</w:t>
      </w:r>
    </w:p>
    <w:p w14:paraId="2DB3E29E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Согласно последним данным Комитета статистики,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первичное потребление энергии</w:t>
      </w:r>
      <w:r w:rsidRPr="00AB491E">
        <w:rPr>
          <w:rFonts w:ascii="Times New Roman" w:hAnsi="Times New Roman" w:cs="Times New Roman"/>
          <w:sz w:val="24"/>
          <w:szCs w:val="24"/>
        </w:rPr>
        <w:t> в Казахстане в 2024 году составило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 xml:space="preserve">74 304 тыс. </w:t>
      </w:r>
      <w:proofErr w:type="spellStart"/>
      <w:r w:rsidRPr="00AB491E">
        <w:rPr>
          <w:rFonts w:ascii="Times New Roman" w:hAnsi="Times New Roman" w:cs="Times New Roman"/>
          <w:b/>
          <w:bCs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 (тонн нефтяного эквивалента). Структура первичного потребления стабильна: почти половина приходится на уголь (47,2%), треть – на природный газ (33,1%) и около 17% – на нефть и нефтепродукты.</w:t>
      </w:r>
    </w:p>
    <w:p w14:paraId="69099732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Что касается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конечного потребления энергии (включая электроэнергию, тепло, топливо)</w:t>
      </w:r>
      <w:r w:rsidRPr="00AB491E">
        <w:rPr>
          <w:rFonts w:ascii="Times New Roman" w:hAnsi="Times New Roman" w:cs="Times New Roman"/>
          <w:sz w:val="24"/>
          <w:szCs w:val="24"/>
        </w:rPr>
        <w:t>, в 2024 году оно достигло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 xml:space="preserve">44 647,3 тыс. </w:t>
      </w:r>
      <w:proofErr w:type="spellStart"/>
      <w:r w:rsidRPr="00AB491E">
        <w:rPr>
          <w:rFonts w:ascii="Times New Roman" w:hAnsi="Times New Roman" w:cs="Times New Roman"/>
          <w:b/>
          <w:bCs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. Основными потребителями являются </w:t>
      </w:r>
      <w:proofErr w:type="spellStart"/>
      <w:r w:rsidRPr="00AB491E">
        <w:rPr>
          <w:rFonts w:ascii="Times New Roman" w:hAnsi="Times New Roman" w:cs="Times New Roman"/>
          <w:b/>
          <w:bCs/>
          <w:sz w:val="24"/>
          <w:szCs w:val="24"/>
        </w:rPr>
        <w:t>бытово</w:t>
      </w:r>
      <w:proofErr w:type="spellEnd"/>
      <w:r w:rsidRPr="00AB491E">
        <w:rPr>
          <w:rFonts w:ascii="Times New Roman" w:hAnsi="Times New Roman" w:cs="Times New Roman"/>
          <w:b/>
          <w:bCs/>
          <w:sz w:val="24"/>
          <w:szCs w:val="24"/>
        </w:rPr>
        <w:t>-коммунальный сектор (жилищно-коммунальные услуги и население)</w:t>
      </w:r>
      <w:r w:rsidRPr="00AB491E">
        <w:rPr>
          <w:rFonts w:ascii="Times New Roman" w:hAnsi="Times New Roman" w:cs="Times New Roman"/>
          <w:sz w:val="24"/>
          <w:szCs w:val="24"/>
        </w:rPr>
        <w:t xml:space="preserve"> – 36,5% конечного спроса (≈16,3 млн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). На втором месте –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транспортный сектор</w:t>
      </w:r>
      <w:r w:rsidRPr="00AB491E">
        <w:rPr>
          <w:rFonts w:ascii="Times New Roman" w:hAnsi="Times New Roman" w:cs="Times New Roman"/>
          <w:sz w:val="24"/>
          <w:szCs w:val="24"/>
        </w:rPr>
        <w:t xml:space="preserve"> (24,9%, ≈11,1 млн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), далее промышленность (22,2%, ≈9,9 млн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). В структуре топлива в конечном потреблении лидируют нефтепродукты (32,9% всего конечного спроса), следом газ (21,1%), тепло и электроэнергия (по ~16–17%), уголь – около 12,7%.</w:t>
      </w:r>
    </w:p>
    <w:p w14:paraId="2FFA442A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Энергоёмкость экономики Казахстана остаётся относительно высокой: по оценке на 2024 г. она составляла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0,3 </w:t>
      </w:r>
      <w:proofErr w:type="spellStart"/>
      <w:r w:rsidRPr="00AB491E">
        <w:rPr>
          <w:rFonts w:ascii="Times New Roman" w:hAnsi="Times New Roman" w:cs="Times New Roman"/>
          <w:b/>
          <w:bCs/>
          <w:sz w:val="24"/>
          <w:szCs w:val="24"/>
        </w:rPr>
        <w:t>тнэ</w:t>
      </w:r>
      <w:proofErr w:type="spellEnd"/>
      <w:r w:rsidRPr="00AB491E">
        <w:rPr>
          <w:rFonts w:ascii="Times New Roman" w:hAnsi="Times New Roman" w:cs="Times New Roman"/>
          <w:b/>
          <w:bCs/>
          <w:sz w:val="24"/>
          <w:szCs w:val="24"/>
        </w:rPr>
        <w:t xml:space="preserve"> на $1 тыс. ВВП</w:t>
      </w:r>
      <w:r w:rsidRPr="00AB491E">
        <w:rPr>
          <w:rFonts w:ascii="Times New Roman" w:hAnsi="Times New Roman" w:cs="Times New Roman"/>
          <w:sz w:val="24"/>
          <w:szCs w:val="24"/>
        </w:rPr>
        <w:t> (в ценах 2015 г.). Это почти вдвое выше среднемировых показателей, хотя с 2015 г. энергоёмкость снизилась на 6,3%.</w:t>
      </w:r>
    </w:p>
    <w:p w14:paraId="2F15C16C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B491E">
        <w:rPr>
          <w:rFonts w:ascii="Times New Roman" w:hAnsi="Times New Roman" w:cs="Times New Roman"/>
          <w:b/>
          <w:bCs/>
          <w:sz w:val="24"/>
          <w:szCs w:val="24"/>
        </w:rPr>
        <w:t>Генерация электроэнергии и внешняя торговля</w:t>
      </w:r>
    </w:p>
    <w:p w14:paraId="70AA0E9E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Электроэнергетика Казахстана – классическое смешанное хозяйство: основную генерацию дают угольные тепловые электростанции (ТЭС), дополняемые гидро- и газотурбинной генерацией, а также растущими объёмами возобновляемых источников (ВИЭ). В 2024 году все электростанции страны выработали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 xml:space="preserve">117,9 млрд </w:t>
      </w:r>
      <w:proofErr w:type="spellStart"/>
      <w:r w:rsidRPr="00AB491E">
        <w:rPr>
          <w:rFonts w:ascii="Times New Roman" w:hAnsi="Times New Roman" w:cs="Times New Roman"/>
          <w:b/>
          <w:bCs/>
          <w:sz w:val="24"/>
          <w:szCs w:val="24"/>
        </w:rPr>
        <w:t>кВт·ч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. Из них на ТЭС на угле пришлись почти 75% (74,9%). Доля ВИЭ (включая малые ГЭС, ветро- и солнечные станции, биомассу) выросла, но пока не превышает 7% (6,4% в 2024). Гидроэлектростанции (крупные ГЭС) дают ещё порядка 7–8%, на долю газовых ТЭС и других источников остаётся ≈10–15%. Например, по оценке АО «KEGOC», доля ТЭС в общей генерации в 2023 г. составляла 77,4%, возобновляемых – около 6,0%.</w:t>
      </w:r>
    </w:p>
    <w:p w14:paraId="46FFC10E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 xml:space="preserve">Такая структура означает высокую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углефутуризацию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 энергетики. При этом растёт и интеграция энергосистемы с соседями: Казахстан пока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нетто-импортёр электричества</w:t>
      </w:r>
      <w:r w:rsidRPr="00AB491E">
        <w:rPr>
          <w:rFonts w:ascii="Times New Roman" w:hAnsi="Times New Roman" w:cs="Times New Roman"/>
          <w:sz w:val="24"/>
          <w:szCs w:val="24"/>
        </w:rPr>
        <w:t xml:space="preserve">. Так, в 2024 г. объем импорта вырос до 4,33 млрд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 (преимущественно из России), тогда как экспорт составил лишь 2,70 млрд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>. Особое напряжение испытывает </w:t>
      </w:r>
      <w:r w:rsidRPr="00AB491E">
        <w:rPr>
          <w:rFonts w:ascii="Times New Roman" w:hAnsi="Times New Roman" w:cs="Times New Roman"/>
          <w:b/>
          <w:bCs/>
          <w:sz w:val="24"/>
          <w:szCs w:val="24"/>
        </w:rPr>
        <w:t>южная зона</w:t>
      </w:r>
      <w:r w:rsidRPr="00AB491E">
        <w:rPr>
          <w:rFonts w:ascii="Times New Roman" w:hAnsi="Times New Roman" w:cs="Times New Roman"/>
          <w:sz w:val="24"/>
          <w:szCs w:val="24"/>
        </w:rPr>
        <w:t xml:space="preserve"> ЭЭС: в 2024 г. южные станции выработали ~13,2% электроэнергии (≈15,6 млрд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) и покрывали лишь часть местных потребностей, дефицит перекрывался импортом из северных районов. Зимой этот дефицит может достигать порядка 1–2 ГВт, что требует дополнительных резервов и поясняет рост импорта (например, в начале 2024 г. казахстанцы уже закупили ~1 млрд </w:t>
      </w:r>
      <w:proofErr w:type="spellStart"/>
      <w:r w:rsidRPr="00AB491E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 из России и Центральной Азии).</w:t>
      </w:r>
    </w:p>
    <w:p w14:paraId="0326F2B7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Таким образом, современное состояние энергетической отрасли Казахстана характеризуется рядом системных вызовов, включая высокий уровень износа генерирующих мощностей, значительные потери при передаче энергии, зависимость от угольной генерации и необходимость повышения экологической устойчивости. Эти факторы не только ограничивают эффективность функционирования энергетической системы, но и формируют запрос на глубокую технологическую модернизацию отрасли.</w:t>
      </w:r>
    </w:p>
    <w:p w14:paraId="083A0FA8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lastRenderedPageBreak/>
        <w:t>В этих условиях особую роль приобретает развитие научных исследований в области теплоэнергетики, направленных на повышение КПД установок, оптимизацию тепловых процессов и внедрение цифровых методов моделирования. Подготовка высококвалифицированных специалистов, способных решать подобные задачи, становится стратегическим приоритетом для страны.</w:t>
      </w:r>
    </w:p>
    <w:p w14:paraId="367743DA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B491E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AB491E">
        <w:rPr>
          <w:rFonts w:ascii="Times New Roman" w:hAnsi="Times New Roman" w:cs="Times New Roman"/>
          <w:sz w:val="24"/>
          <w:szCs w:val="24"/>
        </w:rPr>
        <w:t xml:space="preserve"> имени аль-Фараби выступает важной научно-образовательной площадкой, где формируется новое поколение исследователей, ориентированных на решение актуальных задач энергетики. Именно здесь докторанты получают возможность не только углублять теоретические знания, но и разрабатывать прикладные решения, способные внести реальный вклад в развитие энергетической инфраструктуры Казахстана.</w:t>
      </w:r>
    </w:p>
    <w:p w14:paraId="1872C5ED" w14:textId="77777777" w:rsidR="00AB491E" w:rsidRPr="00AB491E" w:rsidRDefault="00AB491E" w:rsidP="00AB491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B491E">
        <w:rPr>
          <w:rFonts w:ascii="Times New Roman" w:hAnsi="Times New Roman" w:cs="Times New Roman"/>
          <w:sz w:val="24"/>
          <w:szCs w:val="24"/>
        </w:rPr>
        <w:t>В перспективе интеграция научных разработок, инновационных технологий и профессиональной подготовки кадров позволит обеспечить переход к более устойчивой, эффективной и экологически безопасной энергетике, отвечающей современным требованиям и стратегическим целям развития Республики Казахстан.</w:t>
      </w:r>
    </w:p>
    <w:p w14:paraId="6DD9D0FF" w14:textId="54B8EF46" w:rsidR="00C26AD1" w:rsidRPr="00AB491E" w:rsidRDefault="00C26AD1" w:rsidP="00C26A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C26AD1" w:rsidRPr="00AB4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16"/>
    <w:rsid w:val="004D116F"/>
    <w:rsid w:val="005A6416"/>
    <w:rsid w:val="00AB491E"/>
    <w:rsid w:val="00C26AD1"/>
    <w:rsid w:val="00E33879"/>
    <w:rsid w:val="00EC09CA"/>
    <w:rsid w:val="00F3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8F63"/>
  <w15:chartTrackingRefBased/>
  <w15:docId w15:val="{ED01C498-6845-4811-A4E4-ABBB15AB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A6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A6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4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4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4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4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641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C09C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C09CA"/>
    <w:rPr>
      <w:color w:val="605E5C"/>
      <w:shd w:val="clear" w:color="auto" w:fill="E1DFDD"/>
    </w:rPr>
  </w:style>
  <w:style w:type="paragraph" w:customStyle="1" w:styleId="ae">
    <w:name w:val="Авторство"/>
    <w:next w:val="23"/>
    <w:rsid w:val="00EC09C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  <w:outlineLvl w:val="0"/>
    </w:pPr>
    <w:rPr>
      <w:rFonts w:ascii="Baskerville" w:eastAsia="Arial Unicode MS" w:hAnsi="Baskerville" w:cs="Arial Unicode MS"/>
      <w:color w:val="000000"/>
      <w:kern w:val="0"/>
      <w:sz w:val="26"/>
      <w:szCs w:val="26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EC09C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Suleimen Yerkin</dc:creator>
  <cp:keywords/>
  <dc:description/>
  <cp:lastModifiedBy>Suleimen Yerkin</cp:lastModifiedBy>
  <cp:revision>3</cp:revision>
  <dcterms:created xsi:type="dcterms:W3CDTF">2026-03-25T05:25:00Z</dcterms:created>
  <dcterms:modified xsi:type="dcterms:W3CDTF">2026-03-25T05:52:00Z</dcterms:modified>
</cp:coreProperties>
</file>