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FF" w:rsidRPr="005B64FF" w:rsidRDefault="005B64FF" w:rsidP="005B64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64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ИССЛЕДОВАТЕЛЬСКАЯ РАБОТА</w:t>
      </w:r>
    </w:p>
    <w:p w:rsidR="005B64FF" w:rsidRPr="005B64FF" w:rsidRDefault="005B64FF" w:rsidP="005B64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64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Учителя начальных классов. Магистра. Пак Жанны Моисеевны. </w:t>
      </w:r>
    </w:p>
    <w:p w:rsidR="005B64FF" w:rsidRPr="005B64FF" w:rsidRDefault="005B64FF" w:rsidP="005B6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64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Тема: </w:t>
      </w:r>
      <w:r w:rsidRPr="005B64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Современные подходы к активизации учебной деятельности учащихся начальных классов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.</w:t>
      </w:r>
    </w:p>
    <w:p w:rsidR="00A63125" w:rsidRPr="005B64FF" w:rsidRDefault="005B64FF">
      <w:pPr>
        <w:pStyle w:val="1"/>
        <w:rPr>
          <w:lang w:val="ru-RU"/>
        </w:rPr>
      </w:pPr>
      <w:r w:rsidRPr="005B64FF">
        <w:rPr>
          <w:lang w:val="ru-RU"/>
        </w:rPr>
        <w:t>И</w:t>
      </w:r>
      <w:r w:rsidRPr="005B64FF">
        <w:rPr>
          <w:lang w:val="ru-RU"/>
        </w:rPr>
        <w:t>гровой суд как инновационная форма урока литературы</w:t>
      </w:r>
      <w:r w:rsidRPr="005B64FF">
        <w:rPr>
          <w:lang w:val="ru-RU"/>
        </w:rPr>
        <w:br/>
        <w:t>(на примере произведения В. Астафьева «Царь-рыба»)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рассматривается использование игровой технологии «Игровой суд» как инновационной формы урока литературы в 4 классе на примере 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анализа рассказа В. Астафьева «Царь-рыба». Предлагаемая методика направлена на развитие критического мышления, речи и нравственного осмысления литературного произведения. Данная форма активизирует внимание учеников, формирует коммуникативные навыки и спосо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бствует глубокому пониманию авторской позиции.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Помогает детям понять суть прочитанного и вникнуть в процесс игры.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Ключевые слова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Игровые технологии, урок литературы, начальная школа, критическое мышление, В. Астафьев, Царь-рыба.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Современное образование требует от педагога поиска новых форм и методов, способствующ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их активному вовлечению учащихся в образовательный процесс. Одной из таких форм является использование игровых технологий на уроках гуманитарного цикла.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Путем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начинают активнее вникать в произведение и искать доводы или доказательства.  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Особенно актуально применение игровых методов в начальной школе, когда у детей преобладает наглядно-дей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ственное мышление, высокая потребность в деятельности и эмоциональной вовлеченности.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Теоретическая основа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Игровая педагогика как направление основывается на трудах Л.С. Выготского, А.Н. Леонтьева, Д.Б. </w:t>
      </w:r>
      <w:proofErr w:type="spellStart"/>
      <w:r w:rsidRPr="005B64FF">
        <w:rPr>
          <w:rFonts w:ascii="Times New Roman" w:hAnsi="Times New Roman" w:cs="Times New Roman"/>
          <w:sz w:val="28"/>
          <w:szCs w:val="28"/>
          <w:lang w:val="ru-RU"/>
        </w:rPr>
        <w:t>Эльконина</w:t>
      </w:r>
      <w:proofErr w:type="spellEnd"/>
      <w:r w:rsidRPr="005B64FF">
        <w:rPr>
          <w:rFonts w:ascii="Times New Roman" w:hAnsi="Times New Roman" w:cs="Times New Roman"/>
          <w:sz w:val="28"/>
          <w:szCs w:val="28"/>
          <w:lang w:val="ru-RU"/>
        </w:rPr>
        <w:t>. Игра способствует развитию воображения, ком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муникативных умений, формированию личностных качеств. Использование ролевых игр на уроках литературы позволяет учащимся не только интерпретировать содержание произведения, но и выражать собственное мнение, оценивать поступки героев, вести аргументированную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 дискуссию.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Методика проведения урока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Цель: сформировать у учащихся нравственную оценку поступков героя произведения В. Астафьева «Царь-рыба» через участие в ролевой игре «Игровой суд».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Этапы урока: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1. Актуализация знаний: беседа о теме произведения, моти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вация.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2. Анализ содержания рассказа: чтение ключевых эпизодов, обсуждение мотивов героя.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3. Подготовка к игре: распределение ролей (судья, прокурор, адвокат, свидетель, подсудимый, народные заседатели).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4. Проведение «суда»: участники представляют аргумен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ты, приводят доказательства, дискутируют.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5. Обсуждение итогов: моральный выбор, позиция автора, личное мнение.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6. Рефлексия: ученики высказываются о своем участии, трудностях, впечатлениях.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Результаты и педагогическая ценность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Даже при предварительном пла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нировании использование «Игрового суда» позволяет повысить мотивацию к чтению и обсуждению литературных произведений. Ученики демонстрируют активность, лучше запоминают содержание, учатся формулировать мысли и выражать эмоции. Метод способствует развитию р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ечи, сотрудничества и морального самоопределения.</w:t>
      </w:r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Выводы</w:t>
      </w:r>
    </w:p>
    <w:p w:rsidR="00A63125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Игровая форма урока литературы позволяет не только эффективно усвоить содержание произведения, но и развивать критическое мышление, коммуникативные и личностные качества младших школьников. Метод «Иг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>ровой суд» может стать частью системы воспитания и обучения, ориентированной на формирование нравственной личности.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Такой метод мотивирует детей внимательнее читать и вникать в прочитанное, чтоб не остаться без участи в игровом процессе. </w:t>
      </w:r>
    </w:p>
    <w:p w:rsidR="005B64FF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63125" w:rsidRPr="005B64FF" w:rsidRDefault="005B64FF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A63125" w:rsidRPr="005B64FF" w:rsidRDefault="005B64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64FF">
        <w:rPr>
          <w:rFonts w:ascii="Times New Roman" w:hAnsi="Times New Roman" w:cs="Times New Roman"/>
          <w:sz w:val="28"/>
          <w:szCs w:val="28"/>
          <w:lang w:val="ru-RU"/>
        </w:rPr>
        <w:t>1. Выготский Л.С. Воображение и творчество в детском возрасте. — М.: Педагогика, 1991.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</w:t>
      </w:r>
      <w:proofErr w:type="spellStart"/>
      <w:r w:rsidRPr="005B64FF">
        <w:rPr>
          <w:rFonts w:ascii="Times New Roman" w:hAnsi="Times New Roman" w:cs="Times New Roman"/>
          <w:sz w:val="28"/>
          <w:szCs w:val="28"/>
          <w:lang w:val="ru-RU"/>
        </w:rPr>
        <w:t>Эльконин</w:t>
      </w:r>
      <w:proofErr w:type="spellEnd"/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 Д.Б. Психология игры. —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 М.: Педагогика, 1978.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3. Астафьев В.П. Царь-рыба. — М.: Советская Россия, 1976.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</w:t>
      </w:r>
      <w:proofErr w:type="spellStart"/>
      <w:r w:rsidRPr="005B64FF">
        <w:rPr>
          <w:rFonts w:ascii="Times New Roman" w:hAnsi="Times New Roman" w:cs="Times New Roman"/>
          <w:sz w:val="28"/>
          <w:szCs w:val="28"/>
          <w:lang w:val="ru-RU"/>
        </w:rPr>
        <w:t>Сластенин</w:t>
      </w:r>
      <w:proofErr w:type="spellEnd"/>
      <w:r w:rsidRPr="005B64FF">
        <w:rPr>
          <w:rFonts w:ascii="Times New Roman" w:hAnsi="Times New Roman" w:cs="Times New Roman"/>
          <w:sz w:val="28"/>
          <w:szCs w:val="28"/>
          <w:lang w:val="ru-RU"/>
        </w:rPr>
        <w:t xml:space="preserve"> В.А. Педагогика. — М.: Академия, 2002.</w:t>
      </w:r>
      <w:r w:rsidRPr="005B64FF">
        <w:rPr>
          <w:rFonts w:ascii="Times New Roman" w:hAnsi="Times New Roman" w:cs="Times New Roman"/>
          <w:sz w:val="28"/>
          <w:szCs w:val="28"/>
          <w:lang w:val="ru-RU"/>
        </w:rPr>
        <w:br/>
        <w:t>5. Федеральный государственный образовательный стандарт начального общего образования. — М., 2021.</w:t>
      </w:r>
    </w:p>
    <w:sectPr w:rsidR="00A63125" w:rsidRPr="005B64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64FF"/>
    <w:rsid w:val="00A6312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17BA"/>
  <w14:defaultImageDpi w14:val="300"/>
  <w15:docId w15:val="{CB9EB82A-ADA4-47AD-8A19-1E996FE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711DC-DEFF-4D67-8EEF-65FCD2F8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2</cp:revision>
  <dcterms:created xsi:type="dcterms:W3CDTF">2013-12-23T23:15:00Z</dcterms:created>
  <dcterms:modified xsi:type="dcterms:W3CDTF">2025-05-25T15:40:00Z</dcterms:modified>
  <cp:category/>
</cp:coreProperties>
</file>