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Бочарникова Н.Г.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КГУ «Средняя общеобразовательная школа №52 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имени академика Е.А. Букетова» г. Караганды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i w:val="1"/>
          <w:rtl w:val="0"/>
        </w:rPr>
        <w:t xml:space="preserve">воспитатели класса предшкольной подготовки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«РАЗВИТИЕ МЕЛКОЙ МОТОРИКИ РУК КАК СРЕДСТВО ФОРМИРОВАНИЯ ПОЗНАВАТЕЛЬНОГО ИНТЕРЕСА И ИНТЕЛЛЕКТУАЛЬНЫХ СПОСОБНОСТЕЙ У ДЕТЕЙ СТАРШЕГО ДОШКОЛЬНОГО ВОЗРАСТА»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jc w:val="right"/>
        <w:rPr/>
      </w:pPr>
      <w:r w:rsidDel="00000000" w:rsidR="00000000" w:rsidRPr="00000000">
        <w:rPr>
          <w:rtl w:val="0"/>
        </w:rPr>
        <w:t xml:space="preserve">«Источники способностей и дарований детей</w:t>
      </w:r>
    </w:p>
    <w:p w:rsidR="00000000" w:rsidDel="00000000" w:rsidP="00000000" w:rsidRDefault="00000000" w:rsidRPr="00000000" w14:paraId="00000009">
      <w:pPr>
        <w:ind w:firstLine="567"/>
        <w:jc w:val="right"/>
        <w:rPr/>
      </w:pPr>
      <w:r w:rsidDel="00000000" w:rsidR="00000000" w:rsidRPr="00000000">
        <w:rPr>
          <w:rtl w:val="0"/>
        </w:rPr>
        <w:t xml:space="preserve">на кончиках их пальцев. От пальцев,</w:t>
      </w:r>
    </w:p>
    <w:p w:rsidR="00000000" w:rsidDel="00000000" w:rsidP="00000000" w:rsidRDefault="00000000" w:rsidRPr="00000000" w14:paraId="0000000A">
      <w:pPr>
        <w:ind w:firstLine="567"/>
        <w:jc w:val="right"/>
        <w:rPr/>
      </w:pPr>
      <w:r w:rsidDel="00000000" w:rsidR="00000000" w:rsidRPr="00000000">
        <w:rPr>
          <w:rtl w:val="0"/>
        </w:rPr>
        <w:t xml:space="preserve">образно говоря, идут тончайшие ручейки,</w:t>
      </w:r>
    </w:p>
    <w:p w:rsidR="00000000" w:rsidDel="00000000" w:rsidP="00000000" w:rsidRDefault="00000000" w:rsidRPr="00000000" w14:paraId="0000000B">
      <w:pPr>
        <w:ind w:firstLine="567"/>
        <w:jc w:val="right"/>
        <w:rPr/>
      </w:pPr>
      <w:r w:rsidDel="00000000" w:rsidR="00000000" w:rsidRPr="00000000">
        <w:rPr>
          <w:rtl w:val="0"/>
        </w:rPr>
        <w:t xml:space="preserve">которые питают источник</w:t>
      </w:r>
    </w:p>
    <w:p w:rsidR="00000000" w:rsidDel="00000000" w:rsidP="00000000" w:rsidRDefault="00000000" w:rsidRPr="00000000" w14:paraId="0000000C">
      <w:pPr>
        <w:ind w:firstLine="567"/>
        <w:jc w:val="right"/>
        <w:rPr/>
      </w:pPr>
      <w:r w:rsidDel="00000000" w:rsidR="00000000" w:rsidRPr="00000000">
        <w:rPr>
          <w:rtl w:val="0"/>
        </w:rPr>
        <w:t xml:space="preserve">творческой мысли»</w:t>
      </w:r>
    </w:p>
    <w:p w:rsidR="00000000" w:rsidDel="00000000" w:rsidP="00000000" w:rsidRDefault="00000000" w:rsidRPr="00000000" w14:paraId="0000000D">
      <w:pPr>
        <w:ind w:firstLine="567"/>
        <w:jc w:val="right"/>
        <w:rPr/>
      </w:pPr>
      <w:r w:rsidDel="00000000" w:rsidR="00000000" w:rsidRPr="00000000">
        <w:rPr>
          <w:rtl w:val="0"/>
        </w:rPr>
        <w:t xml:space="preserve">В.А. Сухомлинский</w:t>
      </w:r>
    </w:p>
    <w:p w:rsidR="00000000" w:rsidDel="00000000" w:rsidP="00000000" w:rsidRDefault="00000000" w:rsidRPr="00000000" w14:paraId="0000000E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Обновленная система образования требует от детей высокого уровня нравственно-волевых качеств, трудолюбия, работоспособности, также специальных знаний и умений.</w:t>
      </w:r>
    </w:p>
    <w:p w:rsidR="00000000" w:rsidDel="00000000" w:rsidP="00000000" w:rsidRDefault="00000000" w:rsidRPr="00000000" w14:paraId="0000000F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Поэтому многие педагоги и родители, осуществляя подготовку детей к школе, обращают внимание, в основном, на обучение слоговому чтению, счёту, решению математических задач.</w:t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Но именно в сфере моторики и произвольного внимания чаще наблюдаются низкие показатели при диагностическом обследовании детей на готовность к школе.</w:t>
      </w:r>
    </w:p>
    <w:p w:rsidR="00000000" w:rsidDel="00000000" w:rsidP="00000000" w:rsidRDefault="00000000" w:rsidRPr="00000000" w14:paraId="00000011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Опыт работы в предшколе показывает, что у детей 5-6 лет недостаточно развиты такие психические функции, как интеллектуальная, эмоционально-волевая, двигательно-моторная.</w:t>
      </w:r>
    </w:p>
    <w:p w:rsidR="00000000" w:rsidDel="00000000" w:rsidP="00000000" w:rsidRDefault="00000000" w:rsidRPr="00000000" w14:paraId="0000001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Моторная потребность имеет огромное значение для детей. Движения совершенствуют функции центральной нервной системы, при движениях более интенсивно протекают все физиологические процессы.</w:t>
      </w:r>
    </w:p>
    <w:p w:rsidR="00000000" w:rsidDel="00000000" w:rsidP="00000000" w:rsidRDefault="00000000" w:rsidRPr="00000000" w14:paraId="0000001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Также двигательная активность помогает развивать речь, а речь, в свою очередь, является одним из основных элементов в двигательно-пространственных упражнениях. Речь у детей совершенствуется под влиянием импульсов от пальцев рук. Еще великие ученые, педагоги и психологи прошлого И.И. Сеченов, Д.Б. Эльконин, А.В. Запорожец, М.М. Кольцова указывали на то, что «пальцы учат говорить». Нервные окончания на руках связаны с речевыми центрами в коре головного мозга. Соответственно, с развитием мелкой моторики рук развиваются мысли и функции речи, зрительно-моторная координация, пространственные ориентиры, внимание, воображение, мышление, познавательные интересы, творческие способности.</w:t>
      </w:r>
    </w:p>
    <w:p w:rsidR="00000000" w:rsidDel="00000000" w:rsidP="00000000" w:rsidRDefault="00000000" w:rsidRPr="00000000" w14:paraId="0000001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«Таланты детей находятся на кончиках их пальцев» - так утверждала и доказывала на основе многочисленных экспериментов известный педагог М. Монтессори. [1, с. 65-73]</w:t>
      </w:r>
    </w:p>
    <w:p w:rsidR="00000000" w:rsidDel="00000000" w:rsidP="00000000" w:rsidRDefault="00000000" w:rsidRPr="00000000" w14:paraId="00000015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«Рука – вышедший наружу мозг» - писал Э. Кант. Что это означает? Все психологические процессы отражаются в положениях наших рук, мелких движениях пальцев.</w:t>
      </w:r>
    </w:p>
    <w:p w:rsidR="00000000" w:rsidDel="00000000" w:rsidP="00000000" w:rsidRDefault="00000000" w:rsidRPr="00000000" w14:paraId="00000016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Современные исследования физиологов и психологов подтверждают данные высказывания, показывая, что имеется тесная связь полушарий мозга с нервными окончаниями, находящимися в подушечках пальцев и в кистях рук.</w:t>
      </w:r>
    </w:p>
    <w:p w:rsidR="00000000" w:rsidDel="00000000" w:rsidP="00000000" w:rsidRDefault="00000000" w:rsidRPr="00000000" w14:paraId="0000001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Поэтому в старшем дошкольном возрасте особую актуальность приобретает проблема развития мелкой моторики рук как показатель физического и психологического развития и, следовательно, как показатель готовности к школьному обучению.</w:t>
      </w:r>
    </w:p>
    <w:p w:rsidR="00000000" w:rsidDel="00000000" w:rsidP="00000000" w:rsidRDefault="00000000" w:rsidRPr="00000000" w14:paraId="0000001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Работа по развитию моторики пальцев и кистей рук проходит в предшколе на многих видах занятий: основы грамоты (образовательная область «Коммуникация»), формирование элементарных математических представлений – ФЭМП (образовательная область «Познание»), музыка, аппликация, лепка, рисование (образовательная область «Творчество»).</w:t>
      </w:r>
    </w:p>
    <w:p w:rsidR="00000000" w:rsidDel="00000000" w:rsidP="00000000" w:rsidRDefault="00000000" w:rsidRPr="00000000" w14:paraId="00000019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Но, как показывает практическая работа с детьми старшего дошкольного возраста необходима систематическая, целенаправленная, углубленная работа в этом направлении. Многие ребята в 5-6 лет не умеют правильно держать ножницы, карандаш, складывать ровно лист бумаги, проводить линии штриховки, даже застёгивать пуговицы и завязывать шнурки.</w:t>
      </w:r>
    </w:p>
    <w:p w:rsidR="00000000" w:rsidDel="00000000" w:rsidP="00000000" w:rsidRDefault="00000000" w:rsidRPr="00000000" w14:paraId="0000001A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Поэтому мы в классе предшкольной подготовки хоти включить в кружковую работу цикл занятий «Волшебные пальчики» с целью апробировать систему психолого-педагогической работы по развитию мелкой моторики и зрительно-двигательной координации у детей.</w:t>
      </w:r>
    </w:p>
    <w:p w:rsidR="00000000" w:rsidDel="00000000" w:rsidP="00000000" w:rsidRDefault="00000000" w:rsidRPr="00000000" w14:paraId="0000001B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В работу кружка «Волшебные пальчики» мы также включаем следующие задачи: развивать тактическую чувствительность рук детей, познавательные интересы, интеллект, активизировать связанную речь, расширять кругозор, формировать элементарные графические навыки, готовить руку к письму.</w:t>
      </w:r>
    </w:p>
    <w:p w:rsidR="00000000" w:rsidDel="00000000" w:rsidP="00000000" w:rsidRDefault="00000000" w:rsidRPr="00000000" w14:paraId="0000001C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Данный цикл занятий будет включать в себя графические диктанты (сначала по образцу, потом под диктовку), которые направлены на развитие умения действовать по правилу и  самостоятельно по заданию педагога; симметричные рисунки координируют движения, активизируют межполушарные взаимодействия структур головного мозга; пальчиковая гимнастика способствует развитию психических функций (внимания, памяти, мышления, речи), также подвижности и гибкости кистей рук.</w:t>
      </w:r>
    </w:p>
    <w:p w:rsidR="00000000" w:rsidDel="00000000" w:rsidP="00000000" w:rsidRDefault="00000000" w:rsidRPr="00000000" w14:paraId="0000001D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Например: ставим вместе с детьми указательный и средний пальцы в пробки от пластиковых бутылок, передвигаем по столу, повторяя при этом:</w:t>
      </w:r>
    </w:p>
    <w:p w:rsidR="00000000" w:rsidDel="00000000" w:rsidP="00000000" w:rsidRDefault="00000000" w:rsidRPr="00000000" w14:paraId="0000001E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«Утром на лыжах кататься пошли,</w:t>
      </w:r>
    </w:p>
    <w:p w:rsidR="00000000" w:rsidDel="00000000" w:rsidP="00000000" w:rsidRDefault="00000000" w:rsidRPr="00000000" w14:paraId="0000001F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Быстро до леса на лыжах дошли, </w:t>
      </w:r>
    </w:p>
    <w:p w:rsidR="00000000" w:rsidDel="00000000" w:rsidP="00000000" w:rsidRDefault="00000000" w:rsidRPr="00000000" w14:paraId="0000002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Время к обеду – весь лес обошли,</w:t>
      </w:r>
    </w:p>
    <w:p w:rsidR="00000000" w:rsidDel="00000000" w:rsidP="00000000" w:rsidRDefault="00000000" w:rsidRPr="00000000" w14:paraId="00000021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Дружно на лыжах домой мы пришли».</w:t>
      </w:r>
    </w:p>
    <w:p w:rsidR="00000000" w:rsidDel="00000000" w:rsidP="00000000" w:rsidRDefault="00000000" w:rsidRPr="00000000" w14:paraId="0000002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Кроме этого, в программу занятий будут включены психогимнастические упражнения, тактильные игры-массажи, пластилинография, тестоплстика, «сухие бассейны» для пальцев (горох, фасоль, работа с трафаретами, с природным и бросовым материалом и т.п.), игры с прищепками, пружинками и, конечно, различные виды изотехники: обрывание, набрызг, цветной граттаж, квилинг, кляксография, тиснение, коллаж, процарапывание, рисование свечой, нитками, ватными палочками и т.д.</w:t>
      </w:r>
    </w:p>
    <w:p w:rsidR="00000000" w:rsidDel="00000000" w:rsidP="00000000" w:rsidRDefault="00000000" w:rsidRPr="00000000" w14:paraId="0000002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Занятия также будут отличаться динамичностью, так как помимо заданий, требующих сосредоточенности и концентрации внимания, будут включать в себя физические и кинезиологические упражнения, подвижные игры, музыкальные минутки.</w:t>
      </w:r>
    </w:p>
    <w:p w:rsidR="00000000" w:rsidDel="00000000" w:rsidP="00000000" w:rsidRDefault="00000000" w:rsidRPr="00000000" w14:paraId="0000002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Ведь, как известно, без движений ребенок не обучается. Также игровые методы, интересный наглядный материал будут являться условием и средством обучения на этих занятиях.</w:t>
      </w:r>
    </w:p>
    <w:p w:rsidR="00000000" w:rsidDel="00000000" w:rsidP="00000000" w:rsidRDefault="00000000" w:rsidRPr="00000000" w14:paraId="00000025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В дальнейшем необходимо разработать диагностические задания для определения уровня развития мелкой моторики и координации движений рук. Ведь современная коррекция нарушений моторики руки может предупредить трудности при письме. Часто отставание в развитии функций моторики ведет к нарушениям письма (дисграфии). А это, в свою очередь, может привести к возникновению негативного отношения к учебе, тревожного состояния ребенка в школе.</w:t>
      </w:r>
    </w:p>
    <w:p w:rsidR="00000000" w:rsidDel="00000000" w:rsidP="00000000" w:rsidRDefault="00000000" w:rsidRPr="00000000" w14:paraId="00000026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Поэтому, так важно именно в дошкольном возрасте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000000" w:rsidDel="00000000" w:rsidP="00000000" w:rsidRDefault="00000000" w:rsidRPr="00000000" w14:paraId="0000002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Данный цикл занятий может быть использован в практической работе педагогами, психологами в старших группах детского сада, в предшколах, мини-центрах, развивающих школах.</w:t>
      </w:r>
    </w:p>
    <w:p w:rsidR="00000000" w:rsidDel="00000000" w:rsidP="00000000" w:rsidRDefault="00000000" w:rsidRPr="00000000" w14:paraId="0000002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Чтобы работа в этом направлении была эффективной, она должна проводиться регулярно, непрерывно и систематически. Для нее необходимо выделить определенное время в режиме дня и сетке занятий.</w:t>
      </w:r>
    </w:p>
    <w:p w:rsidR="00000000" w:rsidDel="00000000" w:rsidP="00000000" w:rsidRDefault="00000000" w:rsidRPr="00000000" w14:paraId="00000029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А педагоги должны поддерживать интерес малышей такими методами и обучающими материалами, которые обеспечат увлеченность, желание заниматься, обеспечивая тем самым должный уровень развития детей и подготовке к школе.</w:t>
      </w:r>
    </w:p>
    <w:p w:rsidR="00000000" w:rsidDel="00000000" w:rsidP="00000000" w:rsidRDefault="00000000" w:rsidRPr="00000000" w14:paraId="0000002A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Генденштейн Л.Э. Домашняя школа Монтессори. Журнал для самых-самых маленьких. 2001 г.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Выготский Л.С. Вопросы детской психологии. СПб.: Союз. 1997 г.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Выготский Л.С. Мышление и речь. М.: 1982 г.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Новиковская О.А. Ум на кончиках пальцев. М.: АСТ, СПб.: Сова, 2006 г.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Соковых С.В. Использование нетрадиционных приемов развития мелкой моторики. Логопед – научно-методический журнал. 2009 г.</w:t>
      </w:r>
    </w:p>
    <w:p w:rsidR="00000000" w:rsidDel="00000000" w:rsidP="00000000" w:rsidRDefault="00000000" w:rsidRPr="00000000" w14:paraId="0000003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Большаков С.Е. Формирование мелкой моторики рук. Игры и упражнения. М.: ТЦ «Сфера». 2006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