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27B8" w14:textId="77777777" w:rsidR="00267820" w:rsidRPr="00267820" w:rsidRDefault="00267820" w:rsidP="00267820">
      <w:pPr>
        <w:shd w:val="clear" w:color="auto" w:fill="FFFFFF"/>
        <w:spacing w:after="0" w:line="242" w:lineRule="atLeast"/>
        <w:jc w:val="center"/>
        <w:rPr>
          <w:rFonts w:ascii="Arial" w:eastAsia="Times New Roman" w:hAnsi="Arial" w:cs="Arial"/>
          <w:color w:val="181818"/>
          <w:sz w:val="21"/>
          <w:szCs w:val="21"/>
          <w:lang w:eastAsia="ru-RU"/>
        </w:rPr>
      </w:pPr>
      <w:bookmarkStart w:id="0" w:name="_GoBack"/>
      <w:bookmarkEnd w:id="0"/>
      <w:r w:rsidRPr="00267820">
        <w:rPr>
          <w:rFonts w:eastAsia="Times New Roman" w:cs="Times New Roman"/>
          <w:b/>
          <w:bCs/>
          <w:i/>
          <w:iCs/>
          <w:color w:val="000000"/>
          <w:szCs w:val="28"/>
          <w:lang w:eastAsia="ru-RU"/>
        </w:rPr>
        <w:t>Аттестация педагогических кадров: новые подходы, проблемы, решения</w:t>
      </w:r>
    </w:p>
    <w:p w14:paraId="6AD48134" w14:textId="77777777" w:rsidR="00267820" w:rsidRPr="00267820" w:rsidRDefault="00267820" w:rsidP="00267820">
      <w:pPr>
        <w:shd w:val="clear" w:color="auto" w:fill="FFFFFF"/>
        <w:spacing w:after="0"/>
        <w:jc w:val="both"/>
        <w:rPr>
          <w:rFonts w:ascii="Arial" w:eastAsia="Times New Roman" w:hAnsi="Arial" w:cs="Arial"/>
          <w:color w:val="181818"/>
          <w:sz w:val="21"/>
          <w:szCs w:val="21"/>
          <w:lang w:eastAsia="ru-RU"/>
        </w:rPr>
      </w:pPr>
      <w:r w:rsidRPr="00267820">
        <w:rPr>
          <w:rFonts w:eastAsia="Times New Roman" w:cs="Times New Roman"/>
          <w:color w:val="181818"/>
          <w:szCs w:val="28"/>
          <w:lang w:eastAsia="ru-RU"/>
        </w:rPr>
        <w:t>       По старым правилам педагог, желающий больше зарабатывать, по собственному желанию мог подать заявление о присвоении второй, первой или высшей категории. Категории присваивались: вторая - руководством учреждения, первая — районным отделом образования, а высшая — в министерстве СК. По новым правилам вторую категорию отменили вовсе, а аттестацию педагогических работников поручили министерству образования СК. При этом аттестация стала обязательной: раз в пять лет каждый педагог, не имеющий категории, независимо от желания и стажа работы должен проходить аттестацию с целью подтверждения соответствия занимаемой должности. Те же учителя, которые желают получить первую или высшую категорию, могут вместо этого подать заявление об аттестации для установления соответствия их профессионального уровня требованиям, предъявляемым к квалификационным категориям. Категории присваиваются на 5 лет, после чего их нужно снова подтверждать в том же порядке.</w:t>
      </w:r>
    </w:p>
    <w:p w14:paraId="756D8D0A"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b/>
          <w:bCs/>
          <w:i/>
          <w:iCs/>
          <w:color w:val="181818"/>
          <w:szCs w:val="28"/>
          <w:lang w:eastAsia="ru-RU"/>
        </w:rPr>
        <w:t>Основные задачи аттестации:</w:t>
      </w:r>
    </w:p>
    <w:p w14:paraId="06C8C13B"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 стимулирование целенаправленного, непрерывного повышения уровня</w:t>
      </w:r>
    </w:p>
    <w:p w14:paraId="5EA9AD01"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квалификации педагогических работников, их методологической</w:t>
      </w:r>
    </w:p>
    <w:p w14:paraId="2E5EDE86"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культуры, личностного  профессионального роста, использования ими</w:t>
      </w:r>
    </w:p>
    <w:p w14:paraId="088B8862"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современных педагогических технологий;</w:t>
      </w:r>
    </w:p>
    <w:p w14:paraId="6BFBD8F0"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 повышение эффективности и качества педагогического труда;</w:t>
      </w:r>
    </w:p>
    <w:p w14:paraId="37BE5803"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 выявление перспектив использования потенциальных возможностей</w:t>
      </w:r>
    </w:p>
    <w:p w14:paraId="1C43496D"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 педагогических работников;</w:t>
      </w:r>
    </w:p>
    <w:p w14:paraId="5C64A85F" w14:textId="77777777" w:rsidR="00267820" w:rsidRPr="00267820" w:rsidRDefault="00267820" w:rsidP="00267820">
      <w:pPr>
        <w:shd w:val="clear" w:color="auto" w:fill="FFFFFF"/>
        <w:spacing w:after="0" w:line="242" w:lineRule="atLeast"/>
        <w:ind w:left="720"/>
        <w:jc w:val="both"/>
        <w:textAlignment w:val="baseline"/>
        <w:rPr>
          <w:rFonts w:ascii="Arial" w:eastAsia="Times New Roman" w:hAnsi="Arial" w:cs="Arial"/>
          <w:color w:val="181818"/>
          <w:sz w:val="21"/>
          <w:szCs w:val="21"/>
          <w:lang w:eastAsia="ru-RU"/>
        </w:rPr>
      </w:pPr>
      <w:r w:rsidRPr="00267820">
        <w:rPr>
          <w:rFonts w:eastAsia="Times New Roman" w:cs="Times New Roman"/>
          <w:color w:val="181818"/>
          <w:szCs w:val="28"/>
          <w:lang w:eastAsia="ru-RU"/>
        </w:rPr>
        <w:t>-</w:t>
      </w:r>
      <w:r w:rsidRPr="00267820">
        <w:rPr>
          <w:rFonts w:eastAsia="Times New Roman" w:cs="Times New Roman"/>
          <w:color w:val="181818"/>
          <w:sz w:val="14"/>
          <w:szCs w:val="14"/>
          <w:lang w:eastAsia="ru-RU"/>
        </w:rPr>
        <w:t>         </w:t>
      </w:r>
      <w:r w:rsidRPr="00267820">
        <w:rPr>
          <w:rFonts w:eastAsia="Times New Roman" w:cs="Times New Roman"/>
          <w:color w:val="000000"/>
          <w:szCs w:val="28"/>
          <w:lang w:eastAsia="ru-RU"/>
        </w:rPr>
        <w:t>учет требований федеральных государственных образовательных</w:t>
      </w:r>
    </w:p>
    <w:p w14:paraId="1C9C332F"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стандартов к кадровым условиям реализации образовательных программ</w:t>
      </w:r>
    </w:p>
    <w:p w14:paraId="2F64506A"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при формировании кадрового состава образовательных учреждений;</w:t>
      </w:r>
    </w:p>
    <w:p w14:paraId="366DD125" w14:textId="77777777" w:rsidR="00267820" w:rsidRPr="00267820" w:rsidRDefault="00267820" w:rsidP="00267820">
      <w:pPr>
        <w:shd w:val="clear" w:color="auto" w:fill="FFFFFF"/>
        <w:spacing w:after="0" w:line="242" w:lineRule="atLeast"/>
        <w:ind w:left="720"/>
        <w:jc w:val="both"/>
        <w:textAlignment w:val="baseline"/>
        <w:rPr>
          <w:rFonts w:ascii="Arial" w:eastAsia="Times New Roman" w:hAnsi="Arial" w:cs="Arial"/>
          <w:color w:val="181818"/>
          <w:sz w:val="21"/>
          <w:szCs w:val="21"/>
          <w:lang w:eastAsia="ru-RU"/>
        </w:rPr>
      </w:pPr>
      <w:r w:rsidRPr="00267820">
        <w:rPr>
          <w:rFonts w:eastAsia="Times New Roman" w:cs="Times New Roman"/>
          <w:color w:val="181818"/>
          <w:szCs w:val="28"/>
          <w:lang w:eastAsia="ru-RU"/>
        </w:rPr>
        <w:t>-</w:t>
      </w:r>
      <w:r w:rsidRPr="00267820">
        <w:rPr>
          <w:rFonts w:eastAsia="Times New Roman" w:cs="Times New Roman"/>
          <w:color w:val="181818"/>
          <w:sz w:val="14"/>
          <w:szCs w:val="14"/>
          <w:lang w:eastAsia="ru-RU"/>
        </w:rPr>
        <w:t>         </w:t>
      </w:r>
      <w:r w:rsidRPr="00267820">
        <w:rPr>
          <w:rFonts w:eastAsia="Times New Roman" w:cs="Times New Roman"/>
          <w:color w:val="000000"/>
          <w:szCs w:val="28"/>
          <w:lang w:eastAsia="ru-RU"/>
        </w:rPr>
        <w:t>определение необходимости повышения квалификации педагогических</w:t>
      </w:r>
    </w:p>
    <w:p w14:paraId="2DFD3BBA"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eastAsia="Times New Roman" w:cs="Times New Roman"/>
          <w:color w:val="000000"/>
          <w:szCs w:val="28"/>
          <w:lang w:eastAsia="ru-RU"/>
        </w:rPr>
        <w:t>работников;</w:t>
      </w:r>
    </w:p>
    <w:p w14:paraId="66E92CC1" w14:textId="77777777" w:rsidR="00267820" w:rsidRPr="00267820" w:rsidRDefault="00267820" w:rsidP="00267820">
      <w:pPr>
        <w:shd w:val="clear" w:color="auto" w:fill="FFFFFF"/>
        <w:spacing w:after="0"/>
        <w:jc w:val="both"/>
        <w:rPr>
          <w:rFonts w:ascii="Arial" w:eastAsia="Times New Roman" w:hAnsi="Arial" w:cs="Arial"/>
          <w:color w:val="181818"/>
          <w:sz w:val="21"/>
          <w:szCs w:val="21"/>
          <w:lang w:eastAsia="ru-RU"/>
        </w:rPr>
      </w:pPr>
      <w:r w:rsidRPr="00267820">
        <w:rPr>
          <w:rFonts w:eastAsia="Times New Roman" w:cs="Times New Roman"/>
          <w:color w:val="000000"/>
          <w:szCs w:val="28"/>
          <w:lang w:eastAsia="ru-RU"/>
        </w:rPr>
        <w:t>обеспечение дифференциации уровня</w:t>
      </w:r>
    </w:p>
    <w:p w14:paraId="1A66CE51" w14:textId="77777777" w:rsidR="00267820" w:rsidRPr="00267820" w:rsidRDefault="00267820" w:rsidP="00267820">
      <w:pPr>
        <w:shd w:val="clear" w:color="auto" w:fill="FFFFFF"/>
        <w:spacing w:after="0" w:line="242" w:lineRule="atLeast"/>
        <w:jc w:val="both"/>
        <w:rPr>
          <w:rFonts w:ascii="Arial" w:eastAsia="Times New Roman" w:hAnsi="Arial" w:cs="Arial"/>
          <w:color w:val="181818"/>
          <w:sz w:val="21"/>
          <w:szCs w:val="21"/>
          <w:lang w:eastAsia="ru-RU"/>
        </w:rPr>
      </w:pPr>
      <w:r w:rsidRPr="00267820">
        <w:rPr>
          <w:rFonts w:eastAsia="Times New Roman" w:cs="Times New Roman"/>
          <w:b/>
          <w:bCs/>
          <w:i/>
          <w:iCs/>
          <w:color w:val="000000"/>
          <w:szCs w:val="28"/>
          <w:lang w:eastAsia="ru-RU"/>
        </w:rPr>
        <w:t>Основополагающие идеи и принципы новой модели аттестации</w:t>
      </w:r>
      <w:r w:rsidRPr="00267820">
        <w:rPr>
          <w:rFonts w:eastAsia="Times New Roman" w:cs="Times New Roman"/>
          <w:i/>
          <w:iCs/>
          <w:color w:val="000000"/>
          <w:szCs w:val="28"/>
          <w:lang w:eastAsia="ru-RU"/>
        </w:rPr>
        <w:t> </w:t>
      </w:r>
      <w:r w:rsidRPr="00267820">
        <w:rPr>
          <w:rFonts w:eastAsia="Times New Roman" w:cs="Times New Roman"/>
          <w:b/>
          <w:bCs/>
          <w:i/>
          <w:iCs/>
          <w:color w:val="000000"/>
          <w:szCs w:val="28"/>
          <w:lang w:eastAsia="ru-RU"/>
        </w:rPr>
        <w:t>педагогических работников</w:t>
      </w:r>
    </w:p>
    <w:p w14:paraId="7505C9F9"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преемственность апробированных подходов к аттестации педагогов, выработанных в опыте работы аттестационной комиссии Министерства образования и науки Мурманской области в течение предыдущих лет, и инновационных подходов, соответствующих изменившимся социально-экономическим условиям и новому видению качества образования;</w:t>
      </w:r>
    </w:p>
    <w:p w14:paraId="7A223968"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преемственность критериев и экспертных процедур, предъявляемых в рамках профессиональных конкурсов приоритетного национального проекта «Образование» при аттестации педагогов;</w:t>
      </w:r>
    </w:p>
    <w:p w14:paraId="0E0156FA"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усиление роли общественной экспертизы  при аттестации педагогических кадров, придание процедуре аттестации более открытого характера;</w:t>
      </w:r>
    </w:p>
    <w:p w14:paraId="64726299"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lastRenderedPageBreak/>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обеспечение объективности и адекватности в оценке профессиональной компетентности и результативности профессиональной деятельности работников;</w:t>
      </w:r>
    </w:p>
    <w:p w14:paraId="133D871D"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стимулирование процессов самодиагностики и самооценки педагогами компетентности, профессионализма, результативности педагогической деятельности;</w:t>
      </w:r>
    </w:p>
    <w:p w14:paraId="3A751CDB"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повышение профессионального статуса и регулирование заработной платы работников в зависимости от оценки качества их труда;</w:t>
      </w:r>
    </w:p>
    <w:p w14:paraId="39E0D5AD"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инициирование рефлексивной исследовательской профессиональной</w:t>
      </w:r>
    </w:p>
    <w:p w14:paraId="017218B5" w14:textId="77777777" w:rsidR="00267820" w:rsidRPr="00267820" w:rsidRDefault="00267820" w:rsidP="00267820">
      <w:pPr>
        <w:shd w:val="clear" w:color="auto" w:fill="FFFFFF"/>
        <w:spacing w:after="0" w:line="242" w:lineRule="atLeast"/>
        <w:jc w:val="both"/>
        <w:textAlignment w:val="baseline"/>
        <w:rPr>
          <w:rFonts w:ascii="Arial" w:eastAsia="Times New Roman" w:hAnsi="Arial" w:cs="Arial"/>
          <w:color w:val="181818"/>
          <w:sz w:val="21"/>
          <w:szCs w:val="21"/>
          <w:lang w:eastAsia="ru-RU"/>
        </w:rPr>
      </w:pPr>
      <w:r w:rsidRPr="00267820">
        <w:rPr>
          <w:rFonts w:ascii="Wingdings" w:eastAsia="Times New Roman" w:hAnsi="Wingdings" w:cs="Arial"/>
          <w:color w:val="181818"/>
          <w:szCs w:val="28"/>
          <w:lang w:eastAsia="ru-RU"/>
        </w:rPr>
        <w:t>Ø</w:t>
      </w:r>
      <w:r w:rsidRPr="00267820">
        <w:rPr>
          <w:rFonts w:eastAsia="Times New Roman" w:cs="Times New Roman"/>
          <w:color w:val="181818"/>
          <w:sz w:val="14"/>
          <w:szCs w:val="14"/>
          <w:lang w:eastAsia="ru-RU"/>
        </w:rPr>
        <w:t> </w:t>
      </w:r>
      <w:r w:rsidRPr="00267820">
        <w:rPr>
          <w:rFonts w:ascii="Arial" w:eastAsia="Times New Roman" w:hAnsi="Arial" w:cs="Arial"/>
          <w:color w:val="000000"/>
          <w:szCs w:val="28"/>
          <w:lang w:eastAsia="ru-RU"/>
        </w:rPr>
        <w:t>позиции педагога. </w:t>
      </w:r>
    </w:p>
    <w:p w14:paraId="112A767A" w14:textId="77777777" w:rsidR="00267820" w:rsidRPr="00267820" w:rsidRDefault="00267820" w:rsidP="00267820">
      <w:pPr>
        <w:shd w:val="clear" w:color="auto" w:fill="FFFFFF"/>
        <w:spacing w:after="0"/>
        <w:jc w:val="both"/>
        <w:rPr>
          <w:rFonts w:ascii="Arial" w:eastAsia="Times New Roman" w:hAnsi="Arial" w:cs="Arial"/>
          <w:color w:val="181818"/>
          <w:sz w:val="21"/>
          <w:szCs w:val="21"/>
          <w:lang w:eastAsia="ru-RU"/>
        </w:rPr>
      </w:pPr>
      <w:r w:rsidRPr="00267820">
        <w:rPr>
          <w:rFonts w:eastAsia="Times New Roman" w:cs="Times New Roman"/>
          <w:color w:val="181818"/>
          <w:szCs w:val="28"/>
          <w:lang w:eastAsia="ru-RU"/>
        </w:rPr>
        <w:t> </w:t>
      </w:r>
    </w:p>
    <w:p w14:paraId="250FEBEF" w14:textId="77777777" w:rsidR="00267820" w:rsidRPr="00267820" w:rsidRDefault="00267820" w:rsidP="00267820">
      <w:pPr>
        <w:shd w:val="clear" w:color="auto" w:fill="FFFFFF"/>
        <w:spacing w:after="0"/>
        <w:jc w:val="both"/>
        <w:rPr>
          <w:rFonts w:ascii="Arial" w:eastAsia="Times New Roman" w:hAnsi="Arial" w:cs="Arial"/>
          <w:color w:val="181818"/>
          <w:sz w:val="21"/>
          <w:szCs w:val="21"/>
          <w:lang w:eastAsia="ru-RU"/>
        </w:rPr>
      </w:pPr>
      <w:r w:rsidRPr="00267820">
        <w:rPr>
          <w:rFonts w:eastAsia="Times New Roman" w:cs="Times New Roman"/>
          <w:color w:val="181818"/>
          <w:szCs w:val="28"/>
          <w:lang w:eastAsia="ru-RU"/>
        </w:rPr>
        <w:t xml:space="preserve">Демократизация системы образования, возникновение новых типов и видов образовательных учреждений, переход на образование по выбору, обновление содержания образования, разработка новых технологий обучения требуют от педагогического работника, руководителя профессиональной, социальной, управленческой компетентности, постоянного самообразования, поиска творческих решений. Сегодня все больше учителей осознают преимущества предоставленной им свободы, вариативности программ и учебных планов, выбора учебников и методик обучения. Однако подлинной заинтересованности можно достичь только при отлаженном механизме оценки продуктивности труда педагога и его материального стимулирования по итогам аттестаций. Аттестация в системе образования проводится не впервые. До 1991 года она носила массовый характер, была обязательной для каждого работника на основе единых требований. Однако эта аттестация была слишком формализована и не служила ни инструментом повышения профессионального мастерства, ни средством материальной поддержки педагогов и руководителей. Сегодня забота о подготовке кадров, повышении их профессионального мастерства, развитии творческого потенциала, их социальной защите стала основой реформирования и развития системы образования области. Именно аттестация кадров, в ее новом содержании и организации, наиболее активно этому способствует. Мы изначально позаботились о подготовке организаторов аттестации: в творческие группы по разработке ее основ входили и сегодня входят представители всех видов и типов учреждений образования, управленческих и научно-методических структур. Проведение аттестации в экспериментальном порядке на четырех территориях области и в педагогическом колледже в 1991—92 учебном году, подготовка нормативных документов по аттестации, принятие по этому вопросу постановления губернатора области позволили нам расширить эксперимент. Большинство территорий изъявили желание последовать примеру первопроходцев и активно готовились к ней, используя накопленный опыт, изучая документы, организуя семинары — прежде всего с руководителями учреждений и службами. Поэтому внеочередная аттестация кадров 1992 г. прошла организованно, но ее результаты не удовлетворили многих, т. к. только 25% педагогов и руководителей образовательных </w:t>
      </w:r>
      <w:r w:rsidRPr="00267820">
        <w:rPr>
          <w:rFonts w:eastAsia="Times New Roman" w:cs="Times New Roman"/>
          <w:color w:val="181818"/>
          <w:szCs w:val="28"/>
          <w:lang w:eastAsia="ru-RU"/>
        </w:rPr>
        <w:lastRenderedPageBreak/>
        <w:t xml:space="preserve">учреждений получили повышенные разряды оплаты труда, несмотря на то, что по областным документам был расширен диапазон разрядов оплаты труда, руководителей, психологов, социальных педагогов, методистов, тренеров-преподавателей. По инициативе работников народного образования мы организовали опережающую аттестацию на квалификационные категории в декабре-феврале 1992-93 гг. Прошли аттестацию более 1000 человек, в том числе половина руководителей, 115 из них получили высшую категорию, 551 – первую. Мы накопили опыт, представители области участвовали в разработке федеральных документов, и поэтому в 1993 г. наши нормативные документы оперативно были приведены в соответствие с федеральными, при этом оставлены некоторые преимущества наших положений. Дополнительно разработаны положения о главной аттестационной комиссии и ее подкомиссиях, квалификационной и экспертной комиссиях, о финансовом обеспечении процесса аттестации и ее результатов. По мере накопления опыта и анализа результатов в нормативные документы вносятся изменения. В марте1994г. Приказом Департамента в Положение внесены дополнения, по которым от первого этапа аттестации на вторую квалификационную категорию освобождены педагогические работники, награжденные знаком «Отличник народного просвещения», а также работники пенсионного и предпенсионного возраста; аттестационным комиссиям образовательных учреждений, руководители которых имеют высшую квалификационную категорию, предоставлено право аттестации педагогов на первую квалификационную категорию. Для обеспечения информированности всех организаторов и участников аттестационного процесса издаются достаточным тиражом и направляются в учебные заведения все необходимые документы. В программы курсов повышения квалификации всех категорий внесены лекции по технологии аттестации и особенно – по правам педагогов в процессе аттестации. Сформировалась своеобразная идеология аттестации в области: добровольность, открытость, справедливость оценки труда и профессионализма аттестуемого, милосердное отношение к коллегам, максимальная добросовестность, компетентность и объективность аттестационных комиссий, щадящий режим их работы, опережающая помощь в подготовке к аттестации. Одновременно аттестация рассматривается и как инструмент управления развитием образования в области. В соответствии с Типовым положением муниципальными органами образования созданы аттестационные структуры. Главная аттестационная комиссия систематически проводит семинары с членами районных и городских аттестационных комиссий, а те, в свою очередь,— с членами аттестационных комиссий учреждений. Важным этапом явилось проведение инвентаризации педагогических профессий отрасли для адаптации тарифно-квалификационных характеристик. Это было необходимо, поскольку имеющиеся тарифно-квалификационные характеристики плохо учитывают специфику работы специалистов, области знаний и профессиональной деятельности. По многим категориям специалистов их нет до сих пор. Особую сложность представляет собой аттестация педагогов дополнительного </w:t>
      </w:r>
      <w:r w:rsidRPr="00267820">
        <w:rPr>
          <w:rFonts w:eastAsia="Times New Roman" w:cs="Times New Roman"/>
          <w:color w:val="181818"/>
          <w:szCs w:val="28"/>
          <w:lang w:eastAsia="ru-RU"/>
        </w:rPr>
        <w:lastRenderedPageBreak/>
        <w:t xml:space="preserve">образования. После продолжительных поисков были созданы стажерские площадки при областном центре работы с детьми и юношеством, организована разработка, обсуждение и утверждение авторских программ по большинству направлений деятельности учреждений дополнительного образования, к проведению курсов повышения квалификации привлечены квалифицированные работники учреждений культуры, проведена аттестация педагогов дополнительного образования областных учреждений, обеспечившая единый подход к оценке работы специалистов. Начата подготовка к проведению аттестации всех педагогов дополнительного образования. Немало проблем возникло с аттестацией педагогов коррекционных учреждений, не имеющих дефектологического образования и в значительной степени утративших и необходимый уровень подготовки по преподаваемому предмету. Только тщательная работа всех сторон сняла возникшее напряжение. Эта ситуация инициировала решение о подготовке дефектологов на базе педагогического факультета педуниверситета. Аттестация педработников медицинских учреждений выявила отсутствие на протяжении многих лет профессиональной работы с ними. Возникла необходимость межведомственного взаимодействия. В основу аттестации были положены ведомственные положения, а по процедуре ее проведения Департамент заключил соглашения с соответствующими департаментами администрации области. Массовая аттестация на квалификационные категории специалистов педагогических колледжей сдерживалась отсутствием возможности повышения квалификации и сложностью проведения экспертной оценки. Однако надо было искать выход. Формой повышения квалификации преподавателей колледжей была избрана стажировка в Ярославском педагогическом государственном университете им. Ушинского, Костромском государственном педагогическом институте им. Н.А.Некрасова, в Ярославском государственном университете. Специалисты этих высших учебных заведений на договорных началах проводят экспертную оценку аттестуемых. Большинство преподавателей педагогических колледжей формой квалификационных испытаний избирает защиту научно-методических разработок, научными руководителями которых становятся ученые педагогических вузов. Сегодня все педучилища получили статус колледжей и вошли структурными подразделениями в состав Ярославского педагогического университета им Ушинского. Это обеспечит высокий уровень работы с кадрами колледжей. Участники проходившей недавно научно-практической конференции «Аттестация педагогических и руководящих кадров государственных и муниципальных учреждений образования Ярославской области: проблемы, поиски, решения» поддержали работу Департамента, ГАК, ИПК по своевременной разработке нормативно-правовой документации, технологии проведения аттестации одобрили опыт работы отдела образования и учреждений Заволжского района г. Ярославля и их аттестационных комиссий по изменению функций, структуры и методов управления образованием в районе для обеспечения целей аттестации. Поддержан опыт работы психологического центра в Дзержинском районе г. </w:t>
      </w:r>
      <w:r w:rsidRPr="00267820">
        <w:rPr>
          <w:rFonts w:eastAsia="Times New Roman" w:cs="Times New Roman"/>
          <w:color w:val="181818"/>
          <w:szCs w:val="28"/>
          <w:lang w:eastAsia="ru-RU"/>
        </w:rPr>
        <w:lastRenderedPageBreak/>
        <w:t xml:space="preserve">Ярославля, обеспечивающий предаттестационную подготовку педагогов. Получил поддержку представленный опыт аттестационных комиссий г. Рыбинска и Ярославского района по организации. аттестации руководителей учреждений, когда аттестация образовательного учреждения совмещена с аттестацией руководителя. Конференция же обозначила обширную программу по совершенствованию работы для управленческих структур, информационно-методических служб, Института повышения квалификации и педагогических учебных заведений и руководителей учебных заведений. Изменение содержания повышения квалификации в условиях аттестации педкадров вызвало изменение технологий повышения квалификации. В ходе курсовых мероприятий широко используются парные, групповые формы работы, организационно-деятельностные игры, психологические тренинги. Передовой педагогический опыт, выявленный при защите творческих работ, заносится в банк педагогической информации информационно-педагогического центра ИПК. Департаментом поддержана практика альтернативных форм повышения квалификации педагогов. Преподаватели математики, работающие в классах с ее углубленным изучением, проходили курсы повышения квалификации в Ярославском государственном университете; освобожденные классные руководители и ведущие учителя физики области — в Ярославском педагогическом государственном университете им. Ушинского; изучается возможность повышения квалификации преподавателей черчения в Рыбинской авиационной академии. Как показали результаты социологического исследования, аттестация на квалификационные категории принята абсолютным большинством педагогов. Процесс аттестации педагогических и руководящих кадров инициирует новые направления деятельности всех структур образования области. Непосредственно в учреждениях образования возникла потребность в предаттестационной подготовке как в научно-методическом, так и в психологическом аспекте. Эта потребность вызвала развитие психологической службы в образовании области и изменение форм и содержания деятельности методических служб. Структура департамента и его функции также изменились — созданы отделы: аттестации педагогических учебных заведений и кадров; стандартов образования, лицензирования. При департаменте работают экспертный совет по инновационной деятельности, определяющий приоритетные проекты для финансовой поддержки образования, и координационный совет по информатизации образования. В области создана ассоциация руководителей учреждений, получивших в результате аттестации высшую квалификационную категорию. Ассоциация дополнительно организует работу с этой категорией руководителей, выступает экспертом нормативных документов по аттестации. Руководство ассоциации принимает участие в работе коллегии Департамента, экспертирует разрабатываемые Департаментом программы развития образования, поддерживает Департамент при постановке принципиальных вопросов в администрации области. Аттестация кадров в области стала тем инструментом, с помощью которого идет дифференцирование содержания </w:t>
      </w:r>
      <w:r w:rsidRPr="00267820">
        <w:rPr>
          <w:rFonts w:eastAsia="Times New Roman" w:cs="Times New Roman"/>
          <w:color w:val="181818"/>
          <w:szCs w:val="28"/>
          <w:lang w:eastAsia="ru-RU"/>
        </w:rPr>
        <w:lastRenderedPageBreak/>
        <w:t>образования, разработка и реализация новых педагогических технологий, развитие инновационных программ и инновационных учебных заведений, расширение круга творчески работающих коллективов и педагогов, имеющих интересные авторские программы. Вместе с тем необходимо сказать, что из-за неподготовленности или отсутствия высококвалифицированных кадров сдерживается процесс аттестации отдельных категорий работающих, особенно в учреждениях дополнительного образования и учреждениях нового типа, методистов. Не удалось в полной мере демократизировать процесс аттестации на уровне учреждений образования, нередко требует вмешательства Главной аттестационной комиссии, аттестация на местах педагогов с нестандартным педагогическим мышлением и подходами к работе с учащимися. Аппеляции немногочисленны (7 за три года), но они ставят принципиальные вопросы недоверия к эксперту, ошибок в процедуре, невнимательности отдельных аттестационных комиссий. Осложняет работу и отсутствие научно обоснованных критериев оценки деятельности учреждений образования и педагогических работников. Недостаточно разработан механизм экспертной оценки деятельности педагогов и качественной подготовки экспертов, лицензирования их деятельности, Представляет определенную проблему механизм аттестации на квалификационную категорию. Не удалось в новых экономических условиях полностью защитить интересы педагогических работников других ведомств, где сдерживается процесс аттестации и прежде всего финансовая поддержка его результатов. Мы видим эти сложности и уже наметили конкретные меры по их преодолению. Департамент завершает разработку очередной программы развития образования области: утверждены или раcсмотрены в первом чтении программы развития дошкольного, общего среднего, дополнительного, педагогического образования, социальной поддержки и реабилитации детей и подростков, развития психологической службы области. В начале декабря 1994 г. в области прошло выездное заседание коллегии Министерства образования РФ «О работе Департамента образования и воспитания администрации Ярославской области по аттестации педагогических и руководящих кадров государственных, муниципальных учреждений и организаций образования». Решением коллегии одобрена практика работы департамента по данной проблеме. Это ко многому обязывает, и прежде всего, к совершенствованию организационного, научно- методического обеспечения аттестации с тем, чтобы права каждого участника аттестации были соблюдены в полной мере.</w:t>
      </w:r>
    </w:p>
    <w:p w14:paraId="1F92767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EE"/>
    <w:rsid w:val="00267820"/>
    <w:rsid w:val="006C0B77"/>
    <w:rsid w:val="008242FF"/>
    <w:rsid w:val="00870751"/>
    <w:rsid w:val="00922C48"/>
    <w:rsid w:val="00B915B7"/>
    <w:rsid w:val="00D71CE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2525B-B6A4-48F7-9000-369CC593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Абсадыкова Алия Сейсенгазыевна</dc:creator>
  <cp:keywords/>
  <dc:description/>
  <cp:lastModifiedBy>Абсадыкова Алия Сейсенгазыевна</cp:lastModifiedBy>
  <cp:revision>3</cp:revision>
  <dcterms:created xsi:type="dcterms:W3CDTF">2022-10-10T06:39:00Z</dcterms:created>
  <dcterms:modified xsi:type="dcterms:W3CDTF">2022-10-10T06:39:00Z</dcterms:modified>
</cp:coreProperties>
</file>