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before="0" w:line="288"/>
        <w:jc w:val="left"/>
      </w:pPr>
      <w:r>
        <w:rPr>
          <w:rFonts w:ascii="Times New Roman" w:cs="Times New Roman" w:eastAsia="Times New Roman" w:hAnsi="Times New Roman"/>
          <w:sz w:val="24"/>
          <w:szCs w:val="24"/>
        </w:rPr>
        <w:t xml:space="preserve">УДК 378.4(574)</w:t>
      </w:r>
    </w:p>
    <w:p>
      <w:pPr>
        <w:spacing w:after="120" w:line="288"/>
        <w:jc w:val="center"/>
      </w:pPr>
      <w:r>
        <w:rPr>
          <w:rFonts w:ascii="Times New Roman" w:cs="Times New Roman" w:eastAsia="Times New Roman" w:hAnsi="Times New Roman"/>
          <w:b/>
          <w:bCs/>
          <w:color w:val="1F3A5F"/>
          <w:sz w:val="28"/>
          <w:szCs w:val="28"/>
        </w:rPr>
        <w:t xml:space="preserve">КАЗНУ ИМЕНИ АЛЬ-ФАРАБИ В ГЛОБАЛЬНОМ АКАДЕМИЧЕСКОМ ПРОСТРАНСТВЕ: ФАКТОРЫ КОНКУРЕНТОСПОСОБНОСТИ И ВКЛАД В РАЗВИТИЕ ЧЕЛОВЕЧЕСКОГО КАПИТАЛА КАЗАХСТАНА</w:t>
      </w:r>
    </w:p>
    <w:p>
      <w:pPr>
        <w:pBdr>
          <w:bottom w:val="single" w:color="1F3A5F" w:sz="6" w:space="8"/>
        </w:pBdr>
        <w:spacing w:after="280" w:line="288"/>
        <w:jc w:val="center"/>
      </w:pPr>
      <w:r>
        <w:rPr>
          <w:rFonts w:ascii="Times New Roman" w:cs="Times New Roman" w:eastAsia="Times New Roman" w:hAnsi="Times New Roman"/>
          <w:i/>
          <w:iCs/>
          <w:sz w:val="24"/>
          <w:szCs w:val="24"/>
        </w:rPr>
        <w:t xml:space="preserve">Научная статья</w:t>
      </w:r>
    </w:p>
    <w:p>
      <w:pPr>
        <w:spacing w:after="0" w:before="0" w:line="264"/>
        <w:ind w:firstLine="709"/>
        <w:jc w:val="both"/>
      </w:pPr>
      <w:r>
        <w:rPr>
          <w:rFonts w:ascii="Times New Roman" w:cs="Times New Roman" w:eastAsia="Times New Roman" w:hAnsi="Times New Roman"/>
          <w:b/>
          <w:bCs/>
          <w:sz w:val="24"/>
          <w:szCs w:val="24"/>
        </w:rPr>
        <w:t xml:space="preserve">Аннотация. </w:t>
      </w:r>
      <w:r>
        <w:rPr>
          <w:rFonts w:ascii="Times New Roman" w:cs="Times New Roman" w:eastAsia="Times New Roman" w:hAnsi="Times New Roman"/>
          <w:sz w:val="24"/>
          <w:szCs w:val="24"/>
        </w:rPr>
        <w:t xml:space="preserve">Статья посвящена анализу конкурентной позиции Казахского национального университета имени аль-Фараби (КазНУ, Farabi University) в глобальном академическом пространстве. Актуальность исследования определяется возрастающей ролью исследовательских университетов в переходе национальной экономики к модели, основанной на знаниях. Методологическую основу составили концепция университета мирового уровня Дж. Салми, теория человеческого капитала Г. Беккера и теория рыночных сигналов М. Спенса. Эмпирическая база включает данные рейтинга QS World University Rankings за 2015–2027 гг. и программные документы университета. Выделены два этапа рейтинговой траектории КазНУ: этап ускоренного роста (2015–2023 гг.), в течение которого университет улучшил позицию на 155 пунктов, и этап стабилизации (2024–2027 гг.) в диапазоне 160–180 мест, обусловленный ужесточением конкуренции и изменением методологии рейтинга. Показано, что дальнейшее продвижение университета определяется прежде всего научной продуктивностью и международной академической репутацией. Обоснована роль КазНУ как стратегического инструмента формирования человеческого капитала Казахстана.</w:t>
      </w:r>
    </w:p>
    <w:p>
      <w:pPr>
        <w:spacing w:after="160" w:before="0" w:line="264"/>
        <w:ind w:firstLine="709"/>
        <w:jc w:val="both"/>
      </w:pPr>
      <w:r>
        <w:rPr>
          <w:rFonts w:ascii="Times New Roman" w:cs="Times New Roman" w:eastAsia="Times New Roman" w:hAnsi="Times New Roman"/>
          <w:b/>
          <w:bCs/>
          <w:sz w:val="24"/>
          <w:szCs w:val="24"/>
        </w:rPr>
        <w:t xml:space="preserve">Ключевые слова: </w:t>
      </w:r>
      <w:r>
        <w:rPr>
          <w:rFonts w:ascii="Times New Roman" w:cs="Times New Roman" w:eastAsia="Times New Roman" w:hAnsi="Times New Roman"/>
          <w:sz w:val="24"/>
          <w:szCs w:val="24"/>
        </w:rPr>
        <w:t xml:space="preserve">исследовательский университет, университет мирового уровня, глобальные рейтинги, конкурентоспособность вуза, человеческий капитал, отдача от образования, КазНУ имени аль-Фараби.</w:t>
      </w:r>
    </w:p>
    <w:p>
      <w:pPr>
        <w:spacing w:after="0" w:before="0" w:line="264"/>
        <w:ind w:firstLine="709"/>
        <w:jc w:val="both"/>
      </w:pPr>
      <w:r>
        <w:rPr>
          <w:rFonts w:ascii="Times New Roman" w:cs="Times New Roman" w:eastAsia="Times New Roman" w:hAnsi="Times New Roman"/>
          <w:b/>
          <w:bCs/>
          <w:sz w:val="24"/>
          <w:szCs w:val="24"/>
        </w:rPr>
        <w:t xml:space="preserve">Abstract. </w:t>
      </w:r>
      <w:r>
        <w:rPr>
          <w:rFonts w:ascii="Times New Roman" w:cs="Times New Roman" w:eastAsia="Times New Roman" w:hAnsi="Times New Roman"/>
          <w:sz w:val="24"/>
          <w:szCs w:val="24"/>
        </w:rPr>
        <w:t xml:space="preserve">The article analyses the competitive position of Al-Farabi Kazakh National University (KazNU, Farabi University) in the global academic landscape. The study draws on J. Salmi’s world-class university framework, G. Becker’s human capital theory and M. Spence’s signalling theory, using QS World University Rankings data for 2015–2027 and the university’s strategic documents. Two phases of KazNU’s ranking trajectory are identified: accelerated growth in 2015–2023, when the university improved by 155 positions, and stabilisation in 2024–2027 within the 160–180 range, driven by intensified competition and changes in ranking methodology. The findings show that further progress depends primarily on research productivity and international academic reputation. The role of KazNU as a strategic instrument for building Kazakhstan’s human capital is substantiated.</w:t>
      </w:r>
    </w:p>
    <w:p>
      <w:pPr>
        <w:spacing w:after="120" w:before="0" w:line="264"/>
        <w:ind w:firstLine="709"/>
        <w:jc w:val="both"/>
      </w:pPr>
      <w:r>
        <w:rPr>
          <w:rFonts w:ascii="Times New Roman" w:cs="Times New Roman" w:eastAsia="Times New Roman" w:hAnsi="Times New Roman"/>
          <w:b/>
          <w:bCs/>
          <w:sz w:val="24"/>
          <w:szCs w:val="24"/>
        </w:rPr>
        <w:t xml:space="preserve">Keywords: </w:t>
      </w:r>
      <w:r>
        <w:rPr>
          <w:rFonts w:ascii="Times New Roman" w:cs="Times New Roman" w:eastAsia="Times New Roman" w:hAnsi="Times New Roman"/>
          <w:sz w:val="24"/>
          <w:szCs w:val="24"/>
        </w:rPr>
        <w:t xml:space="preserve">research university, world-class university, global rankings, university competitiveness, human capital, returns to education, Al-Farabi Kazakh National University.</w:t>
      </w:r>
    </w:p>
    <w:p>
      <w:pPr>
        <w:keepNext/>
        <w:spacing w:after="140" w:before="280" w:line="288"/>
        <w:jc w:val="center"/>
      </w:pPr>
      <w:r>
        <w:rPr>
          <w:rFonts w:ascii="Times New Roman" w:cs="Times New Roman" w:eastAsia="Times New Roman" w:hAnsi="Times New Roman"/>
          <w:b/>
          <w:bCs/>
          <w:color w:val="1F3A5F"/>
          <w:sz w:val="26"/>
          <w:szCs w:val="26"/>
        </w:rPr>
        <w:t xml:space="preserve">ВВЕДЕНИЕ</w:t>
      </w:r>
    </w:p>
    <w:p>
      <w:pPr>
        <w:spacing w:after="0" w:before="0" w:line="288"/>
        <w:ind w:firstLine="709"/>
        <w:jc w:val="both"/>
      </w:pPr>
      <w:r>
        <w:rPr>
          <w:rFonts w:ascii="Times New Roman" w:cs="Times New Roman" w:eastAsia="Times New Roman" w:hAnsi="Times New Roman"/>
          <w:sz w:val="28"/>
          <w:szCs w:val="28"/>
        </w:rPr>
        <w:t xml:space="preserve">В условиях формирования экономики знаний университеты превращаются из институтов воспроизводства знаний в ключевые узлы национальной инновационной системы. Исследовательский университет одновременно генерирует новое знание, транслирует его в образовательный процесс и обеспечивает экономику кадрами, способными к созданию добавленной стоимости. Для Республики Казахстан, реализующей курс на диверсификацию экономики и снижение сырьевой зависимости, качество высшего образования становится фактором долгосрочной макроэкономической устойчивости.</w:t>
      </w:r>
    </w:p>
    <w:p>
      <w:pPr>
        <w:spacing w:after="0" w:before="0" w:line="288"/>
        <w:ind w:firstLine="709"/>
        <w:jc w:val="both"/>
      </w:pPr>
      <w:r>
        <w:rPr>
          <w:rFonts w:ascii="Times New Roman" w:cs="Times New Roman" w:eastAsia="Times New Roman" w:hAnsi="Times New Roman"/>
          <w:sz w:val="28"/>
          <w:szCs w:val="28"/>
        </w:rPr>
        <w:t xml:space="preserve">Одновременно глобальные рейтинги университетов превратились в самостоятельный инструмент конкуренции: они влияют на выбор абитуриентов, решения работодателей, распределение государственного финансирования и стратегию международного сотрудничества. Как показывает Э. Хейзелкорн, рейтинги не только отражают, но и активно перестраивают системы высшего образования, задавая вузам ориентиры развития.</w:t>
      </w:r>
    </w:p>
    <w:p>
      <w:pPr>
        <w:spacing w:after="0" w:before="0" w:line="288"/>
        <w:ind w:firstLine="709"/>
        <w:jc w:val="both"/>
      </w:pPr>
      <w:r>
        <w:rPr>
          <w:rFonts w:ascii="Times New Roman" w:cs="Times New Roman" w:eastAsia="Times New Roman" w:hAnsi="Times New Roman"/>
          <w:sz w:val="28"/>
          <w:szCs w:val="28"/>
        </w:rPr>
        <w:t xml:space="preserve">Казахский национальный университет имени аль-Фараби – первый классический университет республики и один из наиболее узнаваемых казахстанских вузов на международной арене – представляет показательный объект для анализа того, как национальный университет с длительной академической историей встраивается в глобальную конкуренцию.</w:t>
      </w:r>
    </w:p>
    <w:p>
      <w:pPr>
        <w:spacing w:after="0" w:before="0" w:line="288"/>
        <w:ind w:firstLine="709"/>
        <w:jc w:val="both"/>
      </w:pPr>
      <w:r>
        <w:rPr>
          <w:rFonts w:ascii="Times New Roman" w:cs="Times New Roman" w:eastAsia="Times New Roman" w:hAnsi="Times New Roman"/>
          <w:i/>
          <w:iCs/>
          <w:sz w:val="28"/>
          <w:szCs w:val="28"/>
        </w:rPr>
        <w:t xml:space="preserve">Цель исследования</w:t>
      </w:r>
      <w:r>
        <w:rPr>
          <w:rFonts w:ascii="Times New Roman" w:cs="Times New Roman" w:eastAsia="Times New Roman" w:hAnsi="Times New Roman"/>
          <w:sz w:val="28"/>
          <w:szCs w:val="28"/>
        </w:rPr>
        <w:t xml:space="preserve"> – выявить факторы, определяющие конкурентоспособность КазНУ имени аль-Фараби в глобальном академическом пространстве, и оценить его вклад в формирование человеческого капитала Казахстана.</w:t>
      </w:r>
    </w:p>
    <w:p>
      <w:pPr>
        <w:spacing w:after="0" w:before="0" w:line="288"/>
        <w:ind w:firstLine="709"/>
        <w:jc w:val="both"/>
      </w:pPr>
      <w:r>
        <w:rPr>
          <w:rFonts w:ascii="Times New Roman" w:cs="Times New Roman" w:eastAsia="Times New Roman" w:hAnsi="Times New Roman"/>
          <w:i/>
          <w:iCs/>
          <w:sz w:val="28"/>
          <w:szCs w:val="28"/>
        </w:rPr>
        <w:t xml:space="preserve">Задачи исследования: </w:t>
      </w:r>
      <w:r>
        <w:rPr>
          <w:rFonts w:ascii="Times New Roman" w:cs="Times New Roman" w:eastAsia="Times New Roman" w:hAnsi="Times New Roman"/>
          <w:sz w:val="28"/>
          <w:szCs w:val="28"/>
        </w:rPr>
        <w:t xml:space="preserve">охарактеризовать институциональную траекторию университета; проанализировать динамику его позиций в рейтинге QS World University Rankings за 2015–2027 гг.; оценить конкурентные преимущества университета в рамках модели университета мирового уровня; раскрыть экономическое содержание деятельности университета с позиций теории человеческого капитала.</w:t>
      </w:r>
    </w:p>
    <w:p>
      <w:pPr>
        <w:spacing w:after="0" w:before="0" w:line="288"/>
        <w:ind w:firstLine="709"/>
        <w:jc w:val="both"/>
      </w:pPr>
      <w:r>
        <w:rPr>
          <w:rFonts w:ascii="Times New Roman" w:cs="Times New Roman" w:eastAsia="Times New Roman" w:hAnsi="Times New Roman"/>
          <w:i/>
          <w:iCs/>
          <w:sz w:val="28"/>
          <w:szCs w:val="28"/>
        </w:rPr>
        <w:t xml:space="preserve">Научная новизна</w:t>
      </w:r>
      <w:r>
        <w:rPr>
          <w:rFonts w:ascii="Times New Roman" w:cs="Times New Roman" w:eastAsia="Times New Roman" w:hAnsi="Times New Roman"/>
          <w:sz w:val="28"/>
          <w:szCs w:val="28"/>
        </w:rPr>
        <w:t xml:space="preserve"> работы состоит в периодизации рейтинговой траектории КазНУ с количественной оценкой темпов изменения позиций на каждом этапе, а также в интерпретации деятельности университета через сочетание моделей институциональной конкурентоспособности и экономической теории образования.</w:t>
      </w:r>
    </w:p>
    <w:p>
      <w:pPr>
        <w:keepNext/>
        <w:spacing w:after="140" w:before="280" w:line="288"/>
        <w:jc w:val="center"/>
      </w:pPr>
      <w:r>
        <w:rPr>
          <w:rFonts w:ascii="Times New Roman" w:cs="Times New Roman" w:eastAsia="Times New Roman" w:hAnsi="Times New Roman"/>
          <w:b/>
          <w:bCs/>
          <w:color w:val="1F3A5F"/>
          <w:sz w:val="26"/>
          <w:szCs w:val="26"/>
        </w:rPr>
        <w:t xml:space="preserve">МАТЕРИАЛЫ И МЕТОДЫ</w:t>
      </w:r>
    </w:p>
    <w:p>
      <w:pPr>
        <w:spacing w:after="0" w:before="0" w:line="288"/>
        <w:ind w:firstLine="709"/>
        <w:jc w:val="both"/>
      </w:pPr>
      <w:r>
        <w:rPr>
          <w:rFonts w:ascii="Times New Roman" w:cs="Times New Roman" w:eastAsia="Times New Roman" w:hAnsi="Times New Roman"/>
          <w:sz w:val="28"/>
          <w:szCs w:val="28"/>
        </w:rPr>
        <w:t xml:space="preserve">Теоретико-методологическую основу исследования составили три подхода. Концепция университета мирового уровня Дж. Салми, развитая в совместных работах с Ф. Альтбахом, объясняет академическое превосходство взаимодействием трёх групп факторов: концентрации талантов, достаточности ресурсов и благоприятной системы управления. Теория человеческого капитала Г. Беккера рассматривает образование как инвестицию, повышающую производительность и доходы индивида. Теория рыночных сигналов М. Спенса объясняет ценность диплома в условиях информационной асимметрии на рынке труда.</w:t>
      </w:r>
    </w:p>
    <w:p>
      <w:pPr>
        <w:spacing w:after="0" w:before="0" w:line="288"/>
        <w:ind w:firstLine="709"/>
        <w:jc w:val="both"/>
      </w:pPr>
      <w:r>
        <w:rPr>
          <w:rFonts w:ascii="Times New Roman" w:cs="Times New Roman" w:eastAsia="Times New Roman" w:hAnsi="Times New Roman"/>
          <w:sz w:val="28"/>
          <w:szCs w:val="28"/>
        </w:rPr>
        <w:t xml:space="preserve">Эмпирическую базу составили данные рейтингового агентства Quacquarelli Symonds (QS) о позициях КазНУ в World University Rankings за 2015–2027 гг. и в Asia University Rankings 2026, сведения о контингенте и персонале университета, Программа развития КазНУ на 2022–2026 гг., а также аналитические публикации казахстанских СМИ о результатах рейтингов. В работе применены методы сравнительного и динамического анализа, расчёт абсолютных и среднегодовых изменений позиций, институциональный анализ и обобщение.</w:t>
      </w:r>
    </w:p>
    <w:p>
      <w:pPr>
        <w:keepNext/>
        <w:spacing w:after="140" w:before="280" w:line="288"/>
        <w:jc w:val="center"/>
      </w:pPr>
      <w:r>
        <w:rPr>
          <w:rFonts w:ascii="Times New Roman" w:cs="Times New Roman" w:eastAsia="Times New Roman" w:hAnsi="Times New Roman"/>
          <w:b/>
          <w:bCs/>
          <w:color w:val="1F3A5F"/>
          <w:sz w:val="26"/>
          <w:szCs w:val="26"/>
        </w:rPr>
        <w:t xml:space="preserve">РЕЗУЛЬТАТЫ И ОБСУЖДЕНИЕ</w:t>
      </w:r>
    </w:p>
    <w:p>
      <w:pPr>
        <w:keepNext/>
        <w:spacing w:after="80" w:before="160" w:line="288"/>
        <w:ind w:firstLine="709"/>
        <w:jc w:val="left"/>
      </w:pPr>
      <w:r>
        <w:rPr>
          <w:rFonts w:ascii="Times New Roman" w:cs="Times New Roman" w:eastAsia="Times New Roman" w:hAnsi="Times New Roman"/>
          <w:b/>
          <w:bCs/>
          <w:i/>
          <w:iCs/>
          <w:sz w:val="28"/>
          <w:szCs w:val="28"/>
        </w:rPr>
        <w:t xml:space="preserve">1. Институциональная траектория университета</w:t>
      </w:r>
    </w:p>
    <w:p>
      <w:pPr>
        <w:spacing w:after="0" w:before="0" w:line="288"/>
        <w:ind w:firstLine="709"/>
        <w:jc w:val="both"/>
      </w:pPr>
      <w:r>
        <w:rPr>
          <w:rFonts w:ascii="Times New Roman" w:cs="Times New Roman" w:eastAsia="Times New Roman" w:hAnsi="Times New Roman"/>
          <w:sz w:val="28"/>
          <w:szCs w:val="28"/>
        </w:rPr>
        <w:t xml:space="preserve">Университет был учреждён в 1933 году и начал работу 15 января 1934 года. В 2001 году ему был присвоен статус национального университета, а постановлением Правительства Республики Казахстан от 25 июля 2022 года – статус исследовательского университета; одновременно утверждена Программа развития КазНУ на 2022–2026 годы.</w:t>
      </w:r>
    </w:p>
    <w:p>
      <w:pPr>
        <w:spacing w:after="0" w:before="0" w:line="288"/>
        <w:ind w:firstLine="709"/>
        <w:jc w:val="both"/>
      </w:pPr>
      <w:r>
        <w:rPr>
          <w:rFonts w:ascii="Times New Roman" w:cs="Times New Roman" w:eastAsia="Times New Roman" w:hAnsi="Times New Roman"/>
          <w:sz w:val="28"/>
          <w:szCs w:val="28"/>
        </w:rPr>
        <w:t xml:space="preserve">Имя Абу Насра аль-Фараби – уроженца Отрара, которого на Востоке называли «Вторым учителем» после Аристотеля, – задаёт университету ценностную рамку, соединяющую энциклопедическую учёность и служение обществу. С позиции институциональной теории девяностолетняя история университета представляет собой накопленный нематериальный капитал: устойчивые научные школы, широкую сеть выпускников и узнаваемый бренд. Такой капитал невозможно быстро воспроизвести, и именно он образует барьер, отличающий исторические национальные университеты от новых вузов.</w:t>
      </w:r>
    </w:p>
    <w:p>
      <w:pPr>
        <w:keepNext/>
        <w:spacing w:after="80" w:before="160" w:line="288"/>
        <w:ind w:firstLine="709"/>
        <w:jc w:val="left"/>
      </w:pPr>
      <w:r>
        <w:rPr>
          <w:rFonts w:ascii="Times New Roman" w:cs="Times New Roman" w:eastAsia="Times New Roman" w:hAnsi="Times New Roman"/>
          <w:b/>
          <w:bCs/>
          <w:i/>
          <w:iCs/>
          <w:sz w:val="28"/>
          <w:szCs w:val="28"/>
        </w:rPr>
        <w:t xml:space="preserve">2. Динамика позиций в глобальном рейтинге QS</w:t>
      </w:r>
    </w:p>
    <w:p>
      <w:pPr>
        <w:keepNext/>
        <w:spacing w:after="0" w:before="0" w:line="288"/>
        <w:ind w:firstLine="709"/>
        <w:jc w:val="both"/>
      </w:pPr>
      <w:r>
        <w:rPr>
          <w:rFonts w:ascii="Times New Roman" w:cs="Times New Roman" w:eastAsia="Times New Roman" w:hAnsi="Times New Roman"/>
          <w:sz w:val="28"/>
          <w:szCs w:val="28"/>
        </w:rPr>
        <w:t xml:space="preserve">Динамика позиций университета в рейтинге QS World University Rankings за 2015–2027 гг. представлена на рисунке 1.</w:t>
      </w:r>
    </w:p>
    <w:p>
      <w:pPr>
        <w:keepNext/>
        <w:spacing w:before="120"/>
        <w:jc w:val="center"/>
      </w:pPr>
      <w:r>
        <w:drawing>
          <wp:inline distT="0" distB="0" distL="0" distR="0">
            <wp:extent cx="5619750"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19750" cy="2657475"/>
                    </a:xfrm>
                    <a:prstGeom prst="rect">
                      <a:avLst/>
                    </a:prstGeom>
                  </pic:spPr>
                </pic:pic>
              </a:graphicData>
            </a:graphic>
          </wp:inline>
        </w:drawing>
      </w:r>
    </w:p>
    <w:p>
      <w:pPr>
        <w:keepNext/>
        <w:spacing w:after="80" w:before="120" w:line="288"/>
        <w:jc w:val="center"/>
      </w:pPr>
      <w:r>
        <w:rPr>
          <w:rFonts w:ascii="Times New Roman" w:cs="Times New Roman" w:eastAsia="Times New Roman" w:hAnsi="Times New Roman"/>
          <w:b/>
          <w:bCs/>
          <w:sz w:val="24"/>
          <w:szCs w:val="24"/>
        </w:rPr>
        <w:t xml:space="preserve">Рисунок 1 – Позиции КазНУ имени аль-Фараби в QS World University Rankings, 2015–2027 гг.</w:t>
      </w:r>
    </w:p>
    <w:p>
      <w:pPr>
        <w:spacing w:after="160" w:before="40" w:line="288"/>
        <w:jc w:val="left"/>
      </w:pPr>
      <w:r>
        <w:rPr>
          <w:rFonts w:ascii="Times New Roman" w:cs="Times New Roman" w:eastAsia="Times New Roman" w:hAnsi="Times New Roman"/>
          <w:i/>
          <w:iCs/>
          <w:sz w:val="22"/>
          <w:szCs w:val="22"/>
        </w:rPr>
        <w:t xml:space="preserve">Примечание – Составлено автором по данным QS. Меньшее значение соответствует более высокой позиции.</w:t>
      </w:r>
    </w:p>
    <w:p>
      <w:pPr>
        <w:keepNext/>
        <w:spacing w:after="0" w:before="0" w:line="288"/>
        <w:ind w:firstLine="709"/>
        <w:jc w:val="both"/>
      </w:pPr>
      <w:r>
        <w:rPr>
          <w:rFonts w:ascii="Times New Roman" w:cs="Times New Roman" w:eastAsia="Times New Roman" w:hAnsi="Times New Roman"/>
          <w:sz w:val="28"/>
          <w:szCs w:val="28"/>
        </w:rPr>
        <w:t xml:space="preserve">Анализ динамики позволяет выделить два этапа. Количественная характеристика каждого из них приведена в таблице 1.</w:t>
      </w:r>
    </w:p>
    <w:p>
      <w:pPr>
        <w:keepNext/>
        <w:spacing w:after="80" w:before="120" w:line="288"/>
        <w:jc w:val="center"/>
      </w:pPr>
      <w:r>
        <w:rPr>
          <w:rFonts w:ascii="Times New Roman" w:cs="Times New Roman" w:eastAsia="Times New Roman" w:hAnsi="Times New Roman"/>
          <w:b/>
          <w:bCs/>
          <w:sz w:val="24"/>
          <w:szCs w:val="24"/>
        </w:rPr>
        <w:t xml:space="preserve">Таблица 1 – Изменение позиций КазНУ в QS World University Rankings по этапам</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3000"/>
        <w:gridCol w:w="2118"/>
        <w:gridCol w:w="2118"/>
        <w:gridCol w:w="2119"/>
      </w:tblGrid>
      <w:tr>
        <w:trPr>
          <w:cantSplit/>
        </w:trPr>
        <w:tc>
          <w:tcPr>
            <w:tcW w:type="dxa" w:w="3000"/>
            <w:tcBorders>
              <w:top w:val="single" w:color="7F7F7F" w:sz="4"/>
              <w:left w:val="single" w:color="7F7F7F" w:sz="4"/>
              <w:bottom w:val="single" w:color="7F7F7F" w:sz="4"/>
              <w:right w:val="single" w:color="7F7F7F" w:sz="4"/>
            </w:tcBorders>
            <w:shd w:fill="DCE3EC" w:color="auto" w:val="clear"/>
            <w:tcMar>
              <w:top w:type="dxa" w:w="70"/>
              <w:left w:type="dxa" w:w="100"/>
              <w:bottom w:type="dxa" w:w="70"/>
              <w:right w:type="dxa" w:w="100"/>
            </w:tcMar>
            <w:vAlign w:val="center"/>
          </w:tcPr>
          <w:p>
            <w:pPr>
              <w:jc w:val="center"/>
            </w:pPr>
            <w:r>
              <w:rPr>
                <w:rFonts w:ascii="Times New Roman" w:cs="Times New Roman" w:eastAsia="Times New Roman" w:hAnsi="Times New Roman"/>
                <w:b/>
                <w:bCs/>
                <w:sz w:val="23"/>
                <w:szCs w:val="23"/>
              </w:rPr>
              <w:t xml:space="preserve">Период</w:t>
            </w:r>
          </w:p>
        </w:tc>
        <w:tc>
          <w:tcPr>
            <w:tcW w:type="dxa" w:w="2118"/>
            <w:tcBorders>
              <w:top w:val="single" w:color="7F7F7F" w:sz="4"/>
              <w:left w:val="single" w:color="7F7F7F" w:sz="4"/>
              <w:bottom w:val="single" w:color="7F7F7F" w:sz="4"/>
              <w:right w:val="single" w:color="7F7F7F" w:sz="4"/>
            </w:tcBorders>
            <w:shd w:fill="DCE3EC" w:color="auto" w:val="clear"/>
            <w:tcMar>
              <w:top w:type="dxa" w:w="70"/>
              <w:left w:type="dxa" w:w="100"/>
              <w:bottom w:type="dxa" w:w="70"/>
              <w:right w:type="dxa" w:w="100"/>
            </w:tcMar>
            <w:vAlign w:val="center"/>
          </w:tcPr>
          <w:p>
            <w:pPr>
              <w:jc w:val="center"/>
            </w:pPr>
            <w:r>
              <w:rPr>
                <w:rFonts w:ascii="Times New Roman" w:cs="Times New Roman" w:eastAsia="Times New Roman" w:hAnsi="Times New Roman"/>
                <w:b/>
                <w:bCs/>
                <w:sz w:val="23"/>
                <w:szCs w:val="23"/>
              </w:rPr>
              <w:t xml:space="preserve">2015–2023</w:t>
            </w:r>
          </w:p>
        </w:tc>
        <w:tc>
          <w:tcPr>
            <w:tcW w:type="dxa" w:w="2118"/>
            <w:tcBorders>
              <w:top w:val="single" w:color="7F7F7F" w:sz="4"/>
              <w:left w:val="single" w:color="7F7F7F" w:sz="4"/>
              <w:bottom w:val="single" w:color="7F7F7F" w:sz="4"/>
              <w:right w:val="single" w:color="7F7F7F" w:sz="4"/>
            </w:tcBorders>
            <w:shd w:fill="DCE3EC" w:color="auto" w:val="clear"/>
            <w:tcMar>
              <w:top w:type="dxa" w:w="70"/>
              <w:left w:type="dxa" w:w="100"/>
              <w:bottom w:type="dxa" w:w="70"/>
              <w:right w:type="dxa" w:w="100"/>
            </w:tcMar>
            <w:vAlign w:val="center"/>
          </w:tcPr>
          <w:p>
            <w:pPr>
              <w:jc w:val="center"/>
            </w:pPr>
            <w:r>
              <w:rPr>
                <w:rFonts w:ascii="Times New Roman" w:cs="Times New Roman" w:eastAsia="Times New Roman" w:hAnsi="Times New Roman"/>
                <w:b/>
                <w:bCs/>
                <w:sz w:val="23"/>
                <w:szCs w:val="23"/>
              </w:rPr>
              <w:t xml:space="preserve">2023–2027</w:t>
            </w:r>
          </w:p>
        </w:tc>
        <w:tc>
          <w:tcPr>
            <w:tcW w:type="dxa" w:w="2119"/>
            <w:tcBorders>
              <w:top w:val="single" w:color="7F7F7F" w:sz="4"/>
              <w:left w:val="single" w:color="7F7F7F" w:sz="4"/>
              <w:bottom w:val="single" w:color="7F7F7F" w:sz="4"/>
              <w:right w:val="single" w:color="7F7F7F" w:sz="4"/>
            </w:tcBorders>
            <w:shd w:fill="DCE3EC" w:color="auto" w:val="clear"/>
            <w:tcMar>
              <w:top w:type="dxa" w:w="70"/>
              <w:left w:type="dxa" w:w="100"/>
              <w:bottom w:type="dxa" w:w="70"/>
              <w:right w:type="dxa" w:w="100"/>
            </w:tcMar>
            <w:vAlign w:val="center"/>
          </w:tcPr>
          <w:p>
            <w:pPr>
              <w:jc w:val="center"/>
            </w:pPr>
            <w:r>
              <w:rPr>
                <w:rFonts w:ascii="Times New Roman" w:cs="Times New Roman" w:eastAsia="Times New Roman" w:hAnsi="Times New Roman"/>
                <w:b/>
                <w:bCs/>
                <w:sz w:val="23"/>
                <w:szCs w:val="23"/>
              </w:rPr>
              <w:t xml:space="preserve">2015–2027</w:t>
            </w:r>
          </w:p>
        </w:tc>
      </w:tr>
      <w:tr>
        <w:trPr>
          <w:cantSplit/>
        </w:trPr>
        <w:tc>
          <w:tcPr>
            <w:tcW w:type="dxa" w:w="3000"/>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left"/>
            </w:pPr>
            <w:r>
              <w:rPr>
                <w:rFonts w:ascii="Times New Roman" w:cs="Times New Roman" w:eastAsia="Times New Roman" w:hAnsi="Times New Roman"/>
                <w:b w:val="false"/>
                <w:bCs w:val="false"/>
                <w:sz w:val="23"/>
                <w:szCs w:val="23"/>
              </w:rPr>
              <w:t xml:space="preserve">Позиция на начало периода</w:t>
            </w:r>
          </w:p>
        </w:tc>
        <w:tc>
          <w:tcPr>
            <w:tcW w:type="dxa" w:w="2118"/>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305</w:t>
            </w:r>
          </w:p>
        </w:tc>
        <w:tc>
          <w:tcPr>
            <w:tcW w:type="dxa" w:w="2118"/>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150</w:t>
            </w:r>
          </w:p>
        </w:tc>
        <w:tc>
          <w:tcPr>
            <w:tcW w:type="dxa" w:w="2119"/>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305</w:t>
            </w:r>
          </w:p>
        </w:tc>
      </w:tr>
      <w:tr>
        <w:trPr>
          <w:cantSplit/>
        </w:trPr>
        <w:tc>
          <w:tcPr>
            <w:tcW w:type="dxa" w:w="3000"/>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left"/>
            </w:pPr>
            <w:r>
              <w:rPr>
                <w:rFonts w:ascii="Times New Roman" w:cs="Times New Roman" w:eastAsia="Times New Roman" w:hAnsi="Times New Roman"/>
                <w:b w:val="false"/>
                <w:bCs w:val="false"/>
                <w:sz w:val="23"/>
                <w:szCs w:val="23"/>
              </w:rPr>
              <w:t xml:space="preserve">Позиция на конец периода</w:t>
            </w:r>
          </w:p>
        </w:tc>
        <w:tc>
          <w:tcPr>
            <w:tcW w:type="dxa" w:w="2118"/>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150</w:t>
            </w:r>
          </w:p>
        </w:tc>
        <w:tc>
          <w:tcPr>
            <w:tcW w:type="dxa" w:w="2118"/>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177</w:t>
            </w:r>
          </w:p>
        </w:tc>
        <w:tc>
          <w:tcPr>
            <w:tcW w:type="dxa" w:w="2119"/>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177</w:t>
            </w:r>
          </w:p>
        </w:tc>
      </w:tr>
      <w:tr>
        <w:trPr>
          <w:cantSplit/>
        </w:trPr>
        <w:tc>
          <w:tcPr>
            <w:tcW w:type="dxa" w:w="3000"/>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left"/>
            </w:pPr>
            <w:r>
              <w:rPr>
                <w:rFonts w:ascii="Times New Roman" w:cs="Times New Roman" w:eastAsia="Times New Roman" w:hAnsi="Times New Roman"/>
                <w:b w:val="false"/>
                <w:bCs w:val="false"/>
                <w:sz w:val="23"/>
                <w:szCs w:val="23"/>
              </w:rPr>
              <w:t xml:space="preserve">Изменение, позиций</w:t>
            </w:r>
          </w:p>
        </w:tc>
        <w:tc>
          <w:tcPr>
            <w:tcW w:type="dxa" w:w="2118"/>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+155</w:t>
            </w:r>
          </w:p>
        </w:tc>
        <w:tc>
          <w:tcPr>
            <w:tcW w:type="dxa" w:w="2118"/>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−27</w:t>
            </w:r>
          </w:p>
        </w:tc>
        <w:tc>
          <w:tcPr>
            <w:tcW w:type="dxa" w:w="2119"/>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+128</w:t>
            </w:r>
          </w:p>
        </w:tc>
      </w:tr>
      <w:tr>
        <w:trPr>
          <w:cantSplit/>
        </w:trPr>
        <w:tc>
          <w:tcPr>
            <w:tcW w:type="dxa" w:w="3000"/>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left"/>
            </w:pPr>
            <w:r>
              <w:rPr>
                <w:rFonts w:ascii="Times New Roman" w:cs="Times New Roman" w:eastAsia="Times New Roman" w:hAnsi="Times New Roman"/>
                <w:b w:val="false"/>
                <w:bCs w:val="false"/>
                <w:sz w:val="23"/>
                <w:szCs w:val="23"/>
              </w:rPr>
              <w:t xml:space="preserve">Среднегодовое изменение, позиций</w:t>
            </w:r>
          </w:p>
        </w:tc>
        <w:tc>
          <w:tcPr>
            <w:tcW w:type="dxa" w:w="2118"/>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+19,4</w:t>
            </w:r>
          </w:p>
        </w:tc>
        <w:tc>
          <w:tcPr>
            <w:tcW w:type="dxa" w:w="2118"/>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−6,8</w:t>
            </w:r>
          </w:p>
        </w:tc>
        <w:tc>
          <w:tcPr>
            <w:tcW w:type="dxa" w:w="2119"/>
            <w:tcBorders>
              <w:top w:val="single" w:color="7F7F7F" w:sz="4"/>
              <w:left w:val="single" w:color="7F7F7F" w:sz="4"/>
              <w:bottom w:val="single" w:color="7F7F7F" w:sz="4"/>
              <w:right w:val="single" w:color="7F7F7F" w:sz="4"/>
            </w:tcBorders>
            <w:tcMar>
              <w:top w:type="dxa" w:w="70"/>
              <w:left w:type="dxa" w:w="100"/>
              <w:bottom w:type="dxa" w:w="70"/>
              <w:right w:type="dxa" w:w="100"/>
            </w:tcMar>
            <w:vAlign w:val="center"/>
          </w:tcPr>
          <w:p>
            <w:pPr>
              <w:jc w:val="center"/>
            </w:pPr>
            <w:r>
              <w:rPr>
                <w:rFonts w:ascii="Times New Roman" w:cs="Times New Roman" w:eastAsia="Times New Roman" w:hAnsi="Times New Roman"/>
                <w:b w:val="false"/>
                <w:bCs w:val="false"/>
                <w:sz w:val="23"/>
                <w:szCs w:val="23"/>
              </w:rPr>
              <w:t xml:space="preserve">+10,7</w:t>
            </w:r>
          </w:p>
        </w:tc>
      </w:tr>
    </w:tbl>
    <w:p>
      <w:pPr>
        <w:spacing w:after="160" w:before="40" w:line="288"/>
        <w:jc w:val="left"/>
      </w:pPr>
      <w:r>
        <w:rPr>
          <w:rFonts w:ascii="Times New Roman" w:cs="Times New Roman" w:eastAsia="Times New Roman" w:hAnsi="Times New Roman"/>
          <w:i/>
          <w:iCs/>
          <w:sz w:val="22"/>
          <w:szCs w:val="22"/>
        </w:rPr>
        <w:t xml:space="preserve">Примечание – Рассчитано автором по данным QS. Знак «+» означает улучшение позиции.</w:t>
      </w:r>
    </w:p>
    <w:p>
      <w:pPr>
        <w:spacing w:after="0" w:before="0" w:line="288"/>
        <w:ind w:firstLine="709"/>
        <w:jc w:val="both"/>
      </w:pPr>
      <w:r>
        <w:rPr>
          <w:rFonts w:ascii="Times New Roman" w:cs="Times New Roman" w:eastAsia="Times New Roman" w:hAnsi="Times New Roman"/>
          <w:i/>
          <w:iCs/>
          <w:sz w:val="28"/>
          <w:szCs w:val="28"/>
        </w:rPr>
        <w:t xml:space="preserve">Первый этап – ускоренный рост (2015–2023 гг.). </w:t>
      </w:r>
      <w:r>
        <w:rPr>
          <w:rFonts w:ascii="Times New Roman" w:cs="Times New Roman" w:eastAsia="Times New Roman" w:hAnsi="Times New Roman"/>
          <w:sz w:val="28"/>
          <w:szCs w:val="28"/>
        </w:rPr>
        <w:t xml:space="preserve">За восемь лет университет поднялся с 305-го на 150-е место, улучшая позицию в среднем на 19,4 пункта в год, и впервые вошёл в число 150 лучших университетов мира. Высокие темпы этого этапа характерны для вузов, находящихся за пределами первых двухсот позиций: здесь значительный эффект дают институциональные меры – развитие международного сотрудничества, рост публикационной активности, улучшение соотношения преподавателей и студентов.</w:t>
      </w:r>
    </w:p>
    <w:p>
      <w:pPr>
        <w:spacing w:after="0" w:before="0" w:line="288"/>
        <w:ind w:firstLine="709"/>
        <w:jc w:val="both"/>
      </w:pPr>
      <w:r>
        <w:rPr>
          <w:rFonts w:ascii="Times New Roman" w:cs="Times New Roman" w:eastAsia="Times New Roman" w:hAnsi="Times New Roman"/>
          <w:i/>
          <w:iCs/>
          <w:sz w:val="28"/>
          <w:szCs w:val="28"/>
        </w:rPr>
        <w:t xml:space="preserve">Второй этап – стабилизация (2024–2027 гг.). </w:t>
      </w:r>
      <w:r>
        <w:rPr>
          <w:rFonts w:ascii="Times New Roman" w:cs="Times New Roman" w:eastAsia="Times New Roman" w:hAnsi="Times New Roman"/>
          <w:sz w:val="28"/>
          <w:szCs w:val="28"/>
        </w:rPr>
        <w:t xml:space="preserve">Резкое снижение до 230-го места в рейтинге 2024 года совпало с масштабным пересмотром методологии QS, в которую были введены новые индикаторы – устойчивое развитие, трудоустройство выпускников и международная исследовательская сеть. Уже в 2025 году университет восстановил позицию до 163-го места, а в 2026 и 2027 годах занял 166-е и 177-е места соответственно. В рейтинге 2026 года КазНУ вошёл в мировую сотню по показателю соотношения численности преподавателей и студентов, а в QS Asia University Rankings 2026 занял 38-е место.</w:t>
      </w:r>
    </w:p>
    <w:p>
      <w:pPr>
        <w:spacing w:after="0" w:before="0" w:line="288"/>
        <w:ind w:firstLine="709"/>
        <w:jc w:val="both"/>
      </w:pPr>
      <w:r>
        <w:rPr>
          <w:rFonts w:ascii="Times New Roman" w:cs="Times New Roman" w:eastAsia="Times New Roman" w:hAnsi="Times New Roman"/>
          <w:sz w:val="28"/>
          <w:szCs w:val="28"/>
        </w:rPr>
        <w:t xml:space="preserve">Полученная картина согласуется с выводами Ф. Альтбаха и Дж. Салми: по мере продвижения вуза вверх плотность конкуренции возрастает, и каждая следующая позиция всё больше зависит от научной продуктивности, цитируемости и академической репутации, а не от организационных улучшений. Следовательно, этап стабилизации следует интерпретировать не как утрату конкурентоспособности, а как переход университета в группу, где действуют иные факторы роста. Значимым является и национальный контекст: в рейтинг 2027 года вошли 18 казахстанских вузов, и КазНУ остаётся в числе лидеров национальной системы высшего образования.</w:t>
      </w:r>
    </w:p>
    <w:p>
      <w:pPr>
        <w:keepNext/>
        <w:spacing w:after="80" w:before="160" w:line="288"/>
        <w:ind w:firstLine="709"/>
        <w:jc w:val="left"/>
      </w:pPr>
      <w:r>
        <w:rPr>
          <w:rFonts w:ascii="Times New Roman" w:cs="Times New Roman" w:eastAsia="Times New Roman" w:hAnsi="Times New Roman"/>
          <w:b/>
          <w:bCs/>
          <w:i/>
          <w:iCs/>
          <w:sz w:val="28"/>
          <w:szCs w:val="28"/>
        </w:rPr>
        <w:t xml:space="preserve">3. Конкурентные преимущества в модели университета мирового уровня</w:t>
      </w:r>
    </w:p>
    <w:p>
      <w:pPr>
        <w:spacing w:after="0" w:before="0" w:line="288"/>
        <w:ind w:firstLine="709"/>
        <w:jc w:val="both"/>
      </w:pPr>
      <w:r>
        <w:rPr>
          <w:rFonts w:ascii="Times New Roman" w:cs="Times New Roman" w:eastAsia="Times New Roman" w:hAnsi="Times New Roman"/>
          <w:i/>
          <w:iCs/>
          <w:sz w:val="28"/>
          <w:szCs w:val="28"/>
        </w:rPr>
        <w:t xml:space="preserve">Концентрация талантов. </w:t>
      </w:r>
      <w:r>
        <w:rPr>
          <w:rFonts w:ascii="Times New Roman" w:cs="Times New Roman" w:eastAsia="Times New Roman" w:hAnsi="Times New Roman"/>
          <w:sz w:val="28"/>
          <w:szCs w:val="28"/>
        </w:rPr>
        <w:t xml:space="preserve">По данным QS, в университете обучается около 19,6 тыс. человек, из которых 27,4% приходится на магистратуру и докторантуру; общая численность персонала превышает 4,1 тыс. человек. Значительная доля обучающихся на послевузовских уровнях – структурный признак исследовательского университета, в котором подготовка кадров неотделима от научной деятельности.</w:t>
      </w:r>
    </w:p>
    <w:p>
      <w:pPr>
        <w:spacing w:after="0" w:before="0" w:line="288"/>
        <w:ind w:firstLine="709"/>
        <w:jc w:val="both"/>
      </w:pPr>
      <w:r>
        <w:rPr>
          <w:rFonts w:ascii="Times New Roman" w:cs="Times New Roman" w:eastAsia="Times New Roman" w:hAnsi="Times New Roman"/>
          <w:i/>
          <w:iCs/>
          <w:sz w:val="28"/>
          <w:szCs w:val="28"/>
        </w:rPr>
        <w:t xml:space="preserve">Ресурсы. </w:t>
      </w:r>
      <w:r>
        <w:rPr>
          <w:rFonts w:ascii="Times New Roman" w:cs="Times New Roman" w:eastAsia="Times New Roman" w:hAnsi="Times New Roman"/>
          <w:sz w:val="28"/>
          <w:szCs w:val="28"/>
        </w:rPr>
        <w:t xml:space="preserve">Главный кампус «Казгуград» площадью около 100 гектаров является крупнейшим университетским кампусом Казахстана. Пространственная концентрация учебных корпусов, научных лабораторий, библиотеки, общежитий и спортивной инфраструктуры снижает транзакционные издержки академического взаимодействия и формирует среду полного цикла – от образовательного процесса до научного проекта и его коммерциализации.</w:t>
      </w:r>
    </w:p>
    <w:p>
      <w:pPr>
        <w:spacing w:after="0" w:before="0" w:line="288"/>
        <w:ind w:firstLine="709"/>
        <w:jc w:val="both"/>
      </w:pPr>
      <w:r>
        <w:rPr>
          <w:rFonts w:ascii="Times New Roman" w:cs="Times New Roman" w:eastAsia="Times New Roman" w:hAnsi="Times New Roman"/>
          <w:i/>
          <w:iCs/>
          <w:sz w:val="28"/>
          <w:szCs w:val="28"/>
        </w:rPr>
        <w:t xml:space="preserve">Управление. </w:t>
      </w:r>
      <w:r>
        <w:rPr>
          <w:rFonts w:ascii="Times New Roman" w:cs="Times New Roman" w:eastAsia="Times New Roman" w:hAnsi="Times New Roman"/>
          <w:sz w:val="28"/>
          <w:szCs w:val="28"/>
        </w:rPr>
        <w:t xml:space="preserve">Программа развития на 2022–2026 годы закрепляет четыре стратегические цели – интеграцию науки и образования, современную модель обучения, рост социально-экономического вклада и развитие корпоративного управления – и девять целевых индикаторов, включая объём финансирования научных исследований, цитируемость в Scopus, число совместных проектов и доходы от коммерческой деятельности. Переход от декларативных целей к измеримым показателям свидетельствует об управленческой зрелости университета.</w:t>
      </w:r>
    </w:p>
    <w:p>
      <w:pPr>
        <w:keepNext/>
        <w:spacing w:after="80" w:before="160" w:line="288"/>
        <w:ind w:firstLine="709"/>
        <w:jc w:val="left"/>
      </w:pPr>
      <w:r>
        <w:rPr>
          <w:rFonts w:ascii="Times New Roman" w:cs="Times New Roman" w:eastAsia="Times New Roman" w:hAnsi="Times New Roman"/>
          <w:b/>
          <w:bCs/>
          <w:i/>
          <w:iCs/>
          <w:sz w:val="28"/>
          <w:szCs w:val="28"/>
        </w:rPr>
        <w:t xml:space="preserve">4. Экономическое содержание деятельности университета</w:t>
      </w:r>
    </w:p>
    <w:p>
      <w:pPr>
        <w:spacing w:after="0" w:before="0" w:line="288"/>
        <w:ind w:firstLine="709"/>
        <w:jc w:val="both"/>
      </w:pPr>
      <w:r>
        <w:rPr>
          <w:rFonts w:ascii="Times New Roman" w:cs="Times New Roman" w:eastAsia="Times New Roman" w:hAnsi="Times New Roman"/>
          <w:sz w:val="28"/>
          <w:szCs w:val="28"/>
        </w:rPr>
        <w:t xml:space="preserve">С позиций экономической теории высшее образование представляет собой инвестицию в человеческий капитал. Согласно Г. Беккеру, знания и навыки повышают производительность труда работника и, следовательно, его доход. Обобщение оценок для более чем ста стран, выполненное Дж. Псахаропулосом и Г. Патриносом, показывает, что каждый дополнительный год обучения в среднем увеличивает заработок примерно на 9%, а частная отдача от высшего образования остаётся одной из наиболее высоких среди всех уровней образования.</w:t>
      </w:r>
    </w:p>
    <w:p>
      <w:pPr>
        <w:spacing w:after="0" w:before="0" w:line="288"/>
        <w:ind w:firstLine="709"/>
        <w:jc w:val="both"/>
      </w:pPr>
      <w:r>
        <w:rPr>
          <w:rFonts w:ascii="Times New Roman" w:cs="Times New Roman" w:eastAsia="Times New Roman" w:hAnsi="Times New Roman"/>
          <w:sz w:val="28"/>
          <w:szCs w:val="28"/>
        </w:rPr>
        <w:t xml:space="preserve">Для абитуриента выбор университета, таким образом, является инвестиционным решением, результат которого определяется не только содержанием обучения, но и силой сигнала, который диплом посылает рынку труда. В модели М. Спенса работодатель в условиях информационной асимметрии ориентируется на наблюдаемые сигналы качества кандидата. Международное признание университета и устойчивая репутация его выпускников усиливают этот сигнал и снижают издержки выхода молодого специалиста на рынок труда.</w:t>
      </w:r>
    </w:p>
    <w:p>
      <w:pPr>
        <w:spacing w:after="0" w:before="0" w:line="288"/>
        <w:ind w:firstLine="709"/>
        <w:jc w:val="both"/>
      </w:pPr>
      <w:r>
        <w:rPr>
          <w:rFonts w:ascii="Times New Roman" w:cs="Times New Roman" w:eastAsia="Times New Roman" w:hAnsi="Times New Roman"/>
          <w:sz w:val="28"/>
          <w:szCs w:val="28"/>
        </w:rPr>
        <w:t xml:space="preserve">На макроуровне вклад КазНУ проявляется в мультипликативном эффекте: выпускники университета формируют кадровый состав органов государственного управления, финансового сектора, международного бизнеса, науки и культуры, а научные результаты университета служат основой для технологических и управленческих решений. В этом смысле развитие ведущего исследовательского университета является одним из наиболее результативных направлений государственных инвестиций в человеческий капитал.</w:t>
      </w:r>
    </w:p>
    <w:p>
      <w:pPr>
        <w:keepNext/>
        <w:spacing w:after="140" w:before="280" w:line="288"/>
        <w:jc w:val="center"/>
      </w:pPr>
      <w:r>
        <w:rPr>
          <w:rFonts w:ascii="Times New Roman" w:cs="Times New Roman" w:eastAsia="Times New Roman" w:hAnsi="Times New Roman"/>
          <w:b/>
          <w:bCs/>
          <w:color w:val="1F3A5F"/>
          <w:sz w:val="26"/>
          <w:szCs w:val="26"/>
        </w:rPr>
        <w:t xml:space="preserve">ЗАКЛЮЧЕНИЕ</w:t>
      </w:r>
    </w:p>
    <w:p>
      <w:pPr>
        <w:spacing w:after="0" w:before="0" w:line="288"/>
        <w:ind w:firstLine="709"/>
        <w:jc w:val="both"/>
      </w:pPr>
      <w:r>
        <w:rPr>
          <w:rFonts w:ascii="Times New Roman" w:cs="Times New Roman" w:eastAsia="Times New Roman" w:hAnsi="Times New Roman"/>
          <w:sz w:val="28"/>
          <w:szCs w:val="28"/>
        </w:rPr>
        <w:t xml:space="preserve">Проведённое исследование позволяет сформулировать следующие выводы.</w:t>
      </w:r>
    </w:p>
    <w:p>
      <w:pPr>
        <w:spacing w:after="0" w:before="0" w:line="288"/>
        <w:ind w:firstLine="709"/>
        <w:jc w:val="both"/>
      </w:pPr>
      <w:r>
        <w:rPr>
          <w:rFonts w:ascii="Times New Roman" w:cs="Times New Roman" w:eastAsia="Times New Roman" w:hAnsi="Times New Roman"/>
          <w:sz w:val="28"/>
          <w:szCs w:val="28"/>
        </w:rPr>
        <w:t xml:space="preserve">Первое. Конкурентоспособность КазНУ имени аль-Фараби основана на сочетании накопленного за девяносто лет институционального капитала с исследовательской моделью развития, закреплённой статусом исследовательского университета с 2022 года.</w:t>
      </w:r>
    </w:p>
    <w:p>
      <w:pPr>
        <w:spacing w:after="0" w:before="0" w:line="288"/>
        <w:ind w:firstLine="709"/>
        <w:jc w:val="both"/>
      </w:pPr>
      <w:r>
        <w:rPr>
          <w:rFonts w:ascii="Times New Roman" w:cs="Times New Roman" w:eastAsia="Times New Roman" w:hAnsi="Times New Roman"/>
          <w:sz w:val="28"/>
          <w:szCs w:val="28"/>
        </w:rPr>
        <w:t xml:space="preserve">Второе. Рейтинговая траектория университета включает этап ускоренного роста (2015–2023 гг., +155 позиций, в среднем +19,4 в год) и этап стабилизации (2024–2027 гг.) в диапазоне 160–180 мест. Стабилизация отражает переход в более конкурентную группу вузов и изменение методологии рейтинга, а не снижение качества университета.</w:t>
      </w:r>
    </w:p>
    <w:p>
      <w:pPr>
        <w:spacing w:after="0" w:before="0" w:line="288"/>
        <w:ind w:firstLine="709"/>
        <w:jc w:val="both"/>
      </w:pPr>
      <w:r>
        <w:rPr>
          <w:rFonts w:ascii="Times New Roman" w:cs="Times New Roman" w:eastAsia="Times New Roman" w:hAnsi="Times New Roman"/>
          <w:sz w:val="28"/>
          <w:szCs w:val="28"/>
        </w:rPr>
        <w:t xml:space="preserve">Третье. По всем трём группам факторов модели Дж. Салми – талантам, ресурсам и управлению – университет обладает выраженными преимуществами, а измеримые индикаторы Программы развития создают основу для дальнейшего роста.</w:t>
      </w:r>
    </w:p>
    <w:p>
      <w:pPr>
        <w:spacing w:after="0" w:before="0" w:line="288"/>
        <w:ind w:firstLine="709"/>
        <w:jc w:val="both"/>
      </w:pPr>
      <w:r>
        <w:rPr>
          <w:rFonts w:ascii="Times New Roman" w:cs="Times New Roman" w:eastAsia="Times New Roman" w:hAnsi="Times New Roman"/>
          <w:sz w:val="28"/>
          <w:szCs w:val="28"/>
        </w:rPr>
        <w:t xml:space="preserve">Четвёртое. Ключевыми направлениями продвижения в верхнюю часть глобальных рейтингов являются опережающий рост научной продуктивности и цитируемости, расширение международных исследовательских коллабораций, системная работа с академической репутацией и мониторинг трудоустройства выпускников.</w:t>
      </w:r>
    </w:p>
    <w:p>
      <w:pPr>
        <w:spacing w:after="0" w:before="0" w:line="288"/>
        <w:ind w:firstLine="709"/>
        <w:jc w:val="both"/>
      </w:pPr>
      <w:r>
        <w:rPr>
          <w:rFonts w:ascii="Times New Roman" w:cs="Times New Roman" w:eastAsia="Times New Roman" w:hAnsi="Times New Roman"/>
          <w:sz w:val="28"/>
          <w:szCs w:val="28"/>
        </w:rPr>
        <w:t xml:space="preserve">Таким образом, КазНУ имени аль-Фараби выступает не только старейшим университетом страны, но и её стратегическим активом: инвестиции в качество его образования и науки возвращаются обществу в форме человеческого капитала, определяющего долгосрочную конкурентоспособность Казахстана.</w:t>
      </w:r>
    </w:p>
    <w:p>
      <w:pPr>
        <w:keepNext/>
        <w:spacing w:after="140" w:before="280" w:line="288"/>
        <w:jc w:val="center"/>
      </w:pPr>
      <w:r>
        <w:rPr>
          <w:rFonts w:ascii="Times New Roman" w:cs="Times New Roman" w:eastAsia="Times New Roman" w:hAnsi="Times New Roman"/>
          <w:b/>
          <w:bCs/>
          <w:color w:val="1F3A5F"/>
          <w:sz w:val="26"/>
          <w:szCs w:val="26"/>
        </w:rPr>
        <w:t xml:space="preserve">СПИСОК ИСПОЛЬЗОВАННЫХ ИСТОЧНИКОВ</w:t>
      </w:r>
    </w:p>
    <w:p>
      <w:pPr>
        <w:spacing w:after="0" w:before="0" w:line="264"/>
        <w:ind w:firstLine="709"/>
        <w:jc w:val="both"/>
      </w:pPr>
      <w:r>
        <w:rPr>
          <w:rFonts w:ascii="Times New Roman" w:cs="Times New Roman" w:eastAsia="Times New Roman" w:hAnsi="Times New Roman"/>
          <w:sz w:val="24"/>
          <w:szCs w:val="24"/>
        </w:rPr>
        <w:t xml:space="preserve">1. Salmi J. The Challenge of Establishing World-Class Universities. – Washington, DC: The World Bank, 2009. – 115 p.</w:t>
      </w:r>
    </w:p>
    <w:p>
      <w:pPr>
        <w:spacing w:after="0" w:before="0" w:line="264"/>
        <w:ind w:firstLine="709"/>
        <w:jc w:val="both"/>
      </w:pPr>
      <w:r>
        <w:rPr>
          <w:rFonts w:ascii="Times New Roman" w:cs="Times New Roman" w:eastAsia="Times New Roman" w:hAnsi="Times New Roman"/>
          <w:sz w:val="24"/>
          <w:szCs w:val="24"/>
        </w:rPr>
        <w:t xml:space="preserve">2. Altbach P.G., Salmi J. (eds.) The Road to Academic Excellence: The Making of World-Class Research Universities. – Washington, DC: The World Bank, 2011. – 380 p.</w:t>
      </w:r>
    </w:p>
    <w:p>
      <w:pPr>
        <w:spacing w:after="0" w:before="0" w:line="264"/>
        <w:ind w:firstLine="709"/>
        <w:jc w:val="both"/>
      </w:pPr>
      <w:r>
        <w:rPr>
          <w:rFonts w:ascii="Times New Roman" w:cs="Times New Roman" w:eastAsia="Times New Roman" w:hAnsi="Times New Roman"/>
          <w:sz w:val="24"/>
          <w:szCs w:val="24"/>
        </w:rPr>
        <w:t xml:space="preserve">3. Becker G.S. Human Capital: A Theoretical and Empirical Analysis, with Special Reference to Education. – 3rd ed. – Chicago: University of Chicago Press, 1993. – 412 p.</w:t>
      </w:r>
    </w:p>
    <w:p>
      <w:pPr>
        <w:spacing w:after="0" w:before="0" w:line="264"/>
        <w:ind w:firstLine="709"/>
        <w:jc w:val="both"/>
      </w:pPr>
      <w:r>
        <w:rPr>
          <w:rFonts w:ascii="Times New Roman" w:cs="Times New Roman" w:eastAsia="Times New Roman" w:hAnsi="Times New Roman"/>
          <w:sz w:val="24"/>
          <w:szCs w:val="24"/>
        </w:rPr>
        <w:t xml:space="preserve">4. Spence M. Job Market Signaling // The Quarterly Journal of Economics. – 1973. – Vol. 87, No. 3. – P. 355–374.</w:t>
      </w:r>
    </w:p>
    <w:p>
      <w:pPr>
        <w:spacing w:after="0" w:before="0" w:line="264"/>
        <w:ind w:firstLine="709"/>
        <w:jc w:val="both"/>
      </w:pPr>
      <w:r>
        <w:rPr>
          <w:rFonts w:ascii="Times New Roman" w:cs="Times New Roman" w:eastAsia="Times New Roman" w:hAnsi="Times New Roman"/>
          <w:sz w:val="24"/>
          <w:szCs w:val="24"/>
        </w:rPr>
        <w:t xml:space="preserve">5. Psacharopoulos G., Patrinos H.A. Returns to Investment in Education: A Decennial Review of the Global Literature // Education Economics. – 2018. – Vol. 26, No. 5. – P. 445–458.</w:t>
      </w:r>
    </w:p>
    <w:p>
      <w:pPr>
        <w:spacing w:after="0" w:before="0" w:line="264"/>
        <w:ind w:firstLine="709"/>
        <w:jc w:val="both"/>
      </w:pPr>
      <w:r>
        <w:rPr>
          <w:rFonts w:ascii="Times New Roman" w:cs="Times New Roman" w:eastAsia="Times New Roman" w:hAnsi="Times New Roman"/>
          <w:sz w:val="24"/>
          <w:szCs w:val="24"/>
        </w:rPr>
        <w:t xml:space="preserve">6. Hazelkorn E. Rankings and the Reshaping of Higher Education: The Battle for World-Class Excellence. – 2nd ed. – London: Palgrave Macmillan, 2015. – 382 p.</w:t>
      </w:r>
    </w:p>
    <w:p>
      <w:pPr>
        <w:spacing w:after="0" w:before="0" w:line="264"/>
        <w:ind w:firstLine="709"/>
        <w:jc w:val="both"/>
      </w:pPr>
      <w:r>
        <w:rPr>
          <w:rFonts w:ascii="Times New Roman" w:cs="Times New Roman" w:eastAsia="Times New Roman" w:hAnsi="Times New Roman"/>
          <w:sz w:val="24"/>
          <w:szCs w:val="24"/>
        </w:rPr>
        <w:t xml:space="preserve">7. QS World University Rankings 2027: Farabi University (former Al-Farabi Kazakh National University). – URL: https://www.topuniversities.com/universities/farabi-university-former-al-farabi-kazakh-national-university (дата обращения: 22.10.2026).</w:t>
      </w:r>
    </w:p>
    <w:p>
      <w:pPr>
        <w:spacing w:after="0" w:before="0" w:line="264"/>
        <w:ind w:firstLine="709"/>
        <w:jc w:val="both"/>
      </w:pPr>
      <w:r>
        <w:rPr>
          <w:rFonts w:ascii="Times New Roman" w:cs="Times New Roman" w:eastAsia="Times New Roman" w:hAnsi="Times New Roman"/>
          <w:sz w:val="24"/>
          <w:szCs w:val="24"/>
        </w:rPr>
        <w:t xml:space="preserve">8. Казахский национальный университет имени аль-Фараби. Об университете. – URL: https://farabi.university/university/about (дата обращения: 22.10.2026).</w:t>
      </w:r>
    </w:p>
    <w:p>
      <w:pPr>
        <w:spacing w:after="0" w:before="0" w:line="264"/>
        <w:ind w:firstLine="709"/>
        <w:jc w:val="both"/>
      </w:pPr>
      <w:r>
        <w:rPr>
          <w:rFonts w:ascii="Times New Roman" w:cs="Times New Roman" w:eastAsia="Times New Roman" w:hAnsi="Times New Roman"/>
          <w:sz w:val="24"/>
          <w:szCs w:val="24"/>
        </w:rPr>
        <w:t xml:space="preserve">9. 20 вузов из Казахстана попали в новый рейтинг QS: кто на каких местах // Informburo.kz. – 19.06.2025. – URL: https://informburo.kz/novosti/20-vuzov-iz-kazaxstana-popali-v-novyi-reiting-qs-kto-na-kakix-mestax (дата обращения: 22.10.2026).</w:t>
      </w:r>
    </w:p>
    <w:p>
      <w:pPr>
        <w:spacing w:after="0" w:before="0" w:line="264"/>
        <w:ind w:firstLine="709"/>
        <w:jc w:val="both"/>
      </w:pPr>
      <w:r>
        <w:rPr>
          <w:rFonts w:ascii="Times New Roman" w:cs="Times New Roman" w:eastAsia="Times New Roman" w:hAnsi="Times New Roman"/>
          <w:sz w:val="24"/>
          <w:szCs w:val="24"/>
        </w:rPr>
        <w:t xml:space="preserve">10. 18 вузов Казахстана вошли в мировой рейтинг QS 2027 // Caravan.kz. – 27.07.2026. – URL: https://www.caravan.kz/news/18-vuzov-kazahstana-voshli-v-mirovoj-rejting-qs-2027/ (дата обращения: 22.10.2026).</w:t>
      </w:r>
    </w:p>
    <w:p>
      <w:pPr>
        <w:keepNext/>
        <w:pBdr>
          <w:top w:val="single" w:color="1F3A5F" w:sz="6" w:space="8"/>
        </w:pBdr>
        <w:spacing w:before="480" w:line="288"/>
      </w:pPr>
      <w:r>
        <w:rPr>
          <w:rFonts w:ascii="Times New Roman" w:cs="Times New Roman" w:eastAsia="Times New Roman" w:hAnsi="Times New Roman"/>
          <w:b/>
          <w:bCs/>
          <w:sz w:val="28"/>
          <w:szCs w:val="28"/>
        </w:rPr>
        <w:t xml:space="preserve">Научный руководитель:</w:t>
      </w:r>
    </w:p>
    <w:p>
      <w:pPr>
        <w:keepNext/>
        <w:spacing w:after="160" w:before="0" w:line="288"/>
        <w:jc w:val="left"/>
      </w:pPr>
      <w:r>
        <w:rPr>
          <w:rFonts w:ascii="Times New Roman" w:cs="Times New Roman" w:eastAsia="Times New Roman" w:hAnsi="Times New Roman"/>
          <w:sz w:val="28"/>
          <w:szCs w:val="28"/>
        </w:rPr>
        <w:t xml:space="preserve">Ст. преподаватель кафедры «Финансы и учет» Актуреева Э.А.</w:t>
      </w:r>
    </w:p>
    <w:p>
      <w:pPr>
        <w:keepNext/>
        <w:spacing w:after="0" w:before="0" w:line="288"/>
        <w:jc w:val="left"/>
      </w:pPr>
      <w:r>
        <w:rPr>
          <w:rFonts w:ascii="Times New Roman" w:cs="Times New Roman" w:eastAsia="Times New Roman" w:hAnsi="Times New Roman"/>
          <w:b/>
          <w:bCs/>
          <w:sz w:val="28"/>
          <w:szCs w:val="28"/>
        </w:rPr>
        <w:t xml:space="preserve">Автор: </w:t>
      </w:r>
      <w:r>
        <w:rPr>
          <w:rFonts w:ascii="Times New Roman" w:cs="Times New Roman" w:eastAsia="Times New Roman" w:hAnsi="Times New Roman"/>
          <w:sz w:val="28"/>
          <w:szCs w:val="28"/>
        </w:rPr>
        <w:t xml:space="preserve">Омар Мағжан Қайратұлы</w:t>
      </w:r>
    </w:p>
    <w:p>
      <w:pPr>
        <w:keepNext/>
        <w:spacing w:after="0" w:before="0" w:line="288"/>
        <w:jc w:val="left"/>
      </w:pPr>
      <w:r>
        <w:rPr>
          <w:rFonts w:ascii="Times New Roman" w:cs="Times New Roman" w:eastAsia="Times New Roman" w:hAnsi="Times New Roman"/>
          <w:sz w:val="28"/>
          <w:szCs w:val="28"/>
        </w:rPr>
        <w:t xml:space="preserve">Студент 4 курса, специальность «Финансы»</w:t>
      </w:r>
    </w:p>
    <w:p>
      <w:pPr>
        <w:spacing w:after="0" w:before="0" w:line="288"/>
        <w:jc w:val="left"/>
      </w:pPr>
      <w:r>
        <w:rPr>
          <w:rFonts w:ascii="Times New Roman" w:cs="Times New Roman" w:eastAsia="Times New Roman" w:hAnsi="Times New Roman"/>
          <w:sz w:val="28"/>
          <w:szCs w:val="28"/>
        </w:rPr>
        <w:t xml:space="preserve">Казахский национальный университет имени аль-Фараби</w:t>
      </w:r>
    </w:p>
    <w:sectPr>
      <w:footerReference w:type="default" r:id="rId6"/>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de6a4aed062512170726685376faad6750c9d362.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КазНУ имени аль-Фараби в глобальном академическом пространстве</dc:title>
  <dc:creator>Омар Мағжан Қайратұлы</dc:creator>
  <cp:lastModifiedBy>Un-named</cp:lastModifiedBy>
  <cp:revision>1</cp:revision>
  <dcterms:created xsi:type="dcterms:W3CDTF">2026-10-22T11:45:23.159Z</dcterms:created>
  <dcterms:modified xsi:type="dcterms:W3CDTF">2026-10-22T11:45:23.159Z</dcterms:modified>
</cp:coreProperties>
</file>

<file path=docProps/custom.xml><?xml version="1.0" encoding="utf-8"?>
<Properties xmlns="http://schemas.openxmlformats.org/officeDocument/2006/custom-properties" xmlns:vt="http://schemas.openxmlformats.org/officeDocument/2006/docPropsVTypes"/>
</file>