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F4" w:rsidRPr="008A07F6" w:rsidRDefault="00B16EF4" w:rsidP="00B16EF4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4"/>
        </w:rPr>
      </w:pPr>
      <w:r>
        <w:rPr>
          <w:rFonts w:ascii="Times New Roman" w:eastAsia="Calibri" w:hAnsi="Times New Roman" w:cs="Calibri"/>
          <w:b/>
          <w:sz w:val="28"/>
          <w:szCs w:val="24"/>
        </w:rPr>
        <w:t>АНАЛИЗ ТЕКСТА НА УРОКАХ ЛИТЕРАТУРЫ КАК СРЕДСТВО, ВЛИЯЮЩЕЕ НА ФОРМИРОВАНИЕ ЛИЧНОСТИ УЧАЩЕГОСЯ</w:t>
      </w:r>
    </w:p>
    <w:p w:rsidR="00B16EF4" w:rsidRDefault="00B16EF4" w:rsidP="00B16EF4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4"/>
        </w:rPr>
      </w:pPr>
    </w:p>
    <w:p w:rsidR="00B16EF4" w:rsidRPr="00C06A3C" w:rsidRDefault="00B16EF4" w:rsidP="00B16EF4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4"/>
        </w:rPr>
      </w:pPr>
    </w:p>
    <w:p w:rsidR="00B16EF4" w:rsidRPr="00E2112C" w:rsidRDefault="00B16EF4" w:rsidP="00B16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2C">
        <w:rPr>
          <w:rFonts w:ascii="Times New Roman" w:hAnsi="Times New Roman" w:cs="Times New Roman"/>
          <w:sz w:val="28"/>
          <w:szCs w:val="28"/>
        </w:rPr>
        <w:t>В современном мире одной из ведущих задач обучения чтению в школе образовательная программа ставит задачу обучения восприятию разных жанров художественного произведения. Как академический предмет чтение имеет в своем распоряжении такие сильные средства воздействия на человека, как художественные произведения разных жанров. Они несут с собой колоссальный потенциал развития и воспитания: знакомят ученика с духовным опытом человечества, развивают его ум, облагораживают его чувства. Чем глубже и полнее данная работа воспринимается учеником, тем большее влияние она оказывает на личность.[1</w:t>
      </w:r>
      <w:r>
        <w:rPr>
          <w:rFonts w:ascii="Times New Roman" w:hAnsi="Times New Roman" w:cs="Times New Roman"/>
          <w:sz w:val="28"/>
          <w:szCs w:val="28"/>
        </w:rPr>
        <w:t>, с.18</w:t>
      </w:r>
      <w:r w:rsidRPr="00E2112C">
        <w:rPr>
          <w:rFonts w:ascii="Times New Roman" w:hAnsi="Times New Roman" w:cs="Times New Roman"/>
          <w:sz w:val="28"/>
          <w:szCs w:val="28"/>
        </w:rPr>
        <w:t>]</w:t>
      </w:r>
    </w:p>
    <w:p w:rsidR="00B16EF4" w:rsidRPr="00E2112C" w:rsidRDefault="00B16EF4" w:rsidP="00B16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2C">
        <w:rPr>
          <w:rFonts w:ascii="Times New Roman" w:hAnsi="Times New Roman" w:cs="Times New Roman"/>
          <w:sz w:val="28"/>
          <w:szCs w:val="28"/>
        </w:rPr>
        <w:t>На уроке литературы существует несколько видов анализа художественного произведения, каждый из которых формирует особые навыки чтения и реализуется с помощью соответствующих методов анализа. По справедливому мнению</w:t>
      </w:r>
      <w:r>
        <w:rPr>
          <w:rFonts w:ascii="Times New Roman" w:hAnsi="Times New Roman" w:cs="Times New Roman"/>
          <w:sz w:val="28"/>
          <w:szCs w:val="28"/>
        </w:rPr>
        <w:t xml:space="preserve"> В.А. Сухомлинского </w:t>
      </w:r>
      <w:r w:rsidRPr="00E2112C">
        <w:rPr>
          <w:rFonts w:ascii="Times New Roman" w:hAnsi="Times New Roman" w:cs="Times New Roman"/>
          <w:sz w:val="28"/>
          <w:szCs w:val="28"/>
        </w:rPr>
        <w:t>«умение читать - это означает быть чутким к смыслу и красоте </w:t>
      </w:r>
      <w:r w:rsidRPr="00E2112C">
        <w:rPr>
          <w:rFonts w:ascii="Times New Roman" w:hAnsi="Times New Roman" w:cs="Times New Roman"/>
          <w:bCs/>
          <w:sz w:val="28"/>
          <w:szCs w:val="28"/>
        </w:rPr>
        <w:t>слова</w:t>
      </w:r>
      <w:r w:rsidRPr="00E211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тончайшим оттенкам». </w:t>
      </w:r>
      <w:r w:rsidRPr="0003268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2, с.55</w:t>
      </w:r>
      <w:r w:rsidRPr="00032685">
        <w:rPr>
          <w:rFonts w:ascii="Times New Roman" w:hAnsi="Times New Roman" w:cs="Times New Roman"/>
          <w:sz w:val="28"/>
          <w:szCs w:val="28"/>
        </w:rPr>
        <w:t>]</w:t>
      </w:r>
    </w:p>
    <w:p w:rsidR="00B16EF4" w:rsidRPr="00E2112C" w:rsidRDefault="00B16EF4" w:rsidP="00B16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2C">
        <w:rPr>
          <w:rFonts w:ascii="Times New Roman" w:hAnsi="Times New Roman" w:cs="Times New Roman"/>
          <w:sz w:val="28"/>
          <w:szCs w:val="28"/>
        </w:rPr>
        <w:t>Методика преподавания литературы, использующая методы понимания авторской позиции в школьном анализе, основана на достижениях литературоведения, но, безусловно, трансформирует методы научной интерпретации художественных текстов. Однако основная цель методов анализа - концептуальное усвоение текста, приближение читателя к мысли автора в единстве его образного и логического начал.</w:t>
      </w:r>
    </w:p>
    <w:p w:rsidR="00B16EF4" w:rsidRPr="00E2112C" w:rsidRDefault="00B16EF4" w:rsidP="00B16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2C">
        <w:rPr>
          <w:rFonts w:ascii="Times New Roman" w:hAnsi="Times New Roman" w:cs="Times New Roman"/>
          <w:sz w:val="28"/>
          <w:szCs w:val="28"/>
        </w:rPr>
        <w:t>На сегодняшний день проблема полного восприятия художественных произведений является недостаточно изученной, а вопрос развития логических учебных действий на уроках литературы в школе недостаточно разработан.</w:t>
      </w:r>
    </w:p>
    <w:p w:rsidR="00B16EF4" w:rsidRPr="00E2112C" w:rsidRDefault="00B16EF4" w:rsidP="00B16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2C">
        <w:rPr>
          <w:rFonts w:ascii="Times New Roman" w:hAnsi="Times New Roman" w:cs="Times New Roman"/>
          <w:sz w:val="28"/>
          <w:szCs w:val="28"/>
        </w:rPr>
        <w:t xml:space="preserve">Над проблемой полноценного восприятия художественных произведений и их анализа работали многие известные психологи, ученые, методисты. Среди них можно выделить Г.Н. Кудину, З.Н. Новлянскую, Т.Г. Рамзаеву, М.С. Соловейчик, М.Р. </w:t>
      </w:r>
      <w:r>
        <w:rPr>
          <w:rFonts w:ascii="Times New Roman" w:hAnsi="Times New Roman" w:cs="Times New Roman"/>
          <w:sz w:val="28"/>
          <w:szCs w:val="28"/>
        </w:rPr>
        <w:t>Львова, О.В. Сосновскую и др.</w:t>
      </w:r>
    </w:p>
    <w:p w:rsidR="00B16EF4" w:rsidRPr="00E2112C" w:rsidRDefault="00B16EF4" w:rsidP="00B16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2C">
        <w:rPr>
          <w:rFonts w:ascii="Times New Roman" w:hAnsi="Times New Roman" w:cs="Times New Roman"/>
          <w:sz w:val="28"/>
          <w:szCs w:val="28"/>
        </w:rPr>
        <w:t>Среди казахстанских исследований отметим работы С.М. Джакупова, где особое внимание уделяется особенностям мыслительной деятельности младши</w:t>
      </w:r>
      <w:r>
        <w:rPr>
          <w:rFonts w:ascii="Times New Roman" w:hAnsi="Times New Roman" w:cs="Times New Roman"/>
          <w:sz w:val="28"/>
          <w:szCs w:val="28"/>
        </w:rPr>
        <w:t>х школьников [4, с. 108</w:t>
      </w:r>
      <w:r w:rsidRPr="00E2112C">
        <w:rPr>
          <w:rFonts w:ascii="Times New Roman" w:hAnsi="Times New Roman" w:cs="Times New Roman"/>
          <w:sz w:val="28"/>
          <w:szCs w:val="28"/>
        </w:rPr>
        <w:t>]. О значимости развития интеллектуальных способностей в современной системе образования Республики Казахстан пишет Ж.И. На</w:t>
      </w:r>
      <w:r>
        <w:rPr>
          <w:rFonts w:ascii="Times New Roman" w:hAnsi="Times New Roman" w:cs="Times New Roman"/>
          <w:sz w:val="28"/>
          <w:szCs w:val="28"/>
        </w:rPr>
        <w:t>мазбаева и А.Д. Танатова</w:t>
      </w:r>
      <w:r w:rsidRPr="00E2112C">
        <w:rPr>
          <w:rFonts w:ascii="Times New Roman" w:hAnsi="Times New Roman" w:cs="Times New Roman"/>
          <w:sz w:val="28"/>
          <w:szCs w:val="28"/>
        </w:rPr>
        <w:t>.</w:t>
      </w:r>
    </w:p>
    <w:p w:rsidR="00B16EF4" w:rsidRPr="00E2112C" w:rsidRDefault="00B16EF4" w:rsidP="00B16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2C">
        <w:rPr>
          <w:rFonts w:ascii="Times New Roman" w:hAnsi="Times New Roman" w:cs="Times New Roman"/>
          <w:sz w:val="28"/>
          <w:szCs w:val="28"/>
        </w:rPr>
        <w:t>По мнению методистов А.И. Шпунтова и Е.И. Иваниной, анализ произведений различных жанров должен быть направлен на выявление их идейного содержания, той основной мысли, которую стремится донести автор до своего читателя, на выявление художественной ценности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 w:rsidRPr="00E2112C">
        <w:rPr>
          <w:rFonts w:ascii="Times New Roman" w:hAnsi="Times New Roman" w:cs="Times New Roman"/>
          <w:sz w:val="28"/>
          <w:szCs w:val="28"/>
        </w:rPr>
        <w:t>.</w:t>
      </w:r>
    </w:p>
    <w:p w:rsidR="00B16EF4" w:rsidRDefault="00B16EF4" w:rsidP="00B16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2C">
        <w:rPr>
          <w:rFonts w:ascii="Times New Roman" w:hAnsi="Times New Roman" w:cs="Times New Roman"/>
          <w:sz w:val="28"/>
          <w:szCs w:val="28"/>
        </w:rPr>
        <w:lastRenderedPageBreak/>
        <w:t>Цель, поставленная в статье – анализ текста на уроках литературы как средство способствующее формированию полноценного восприят</w:t>
      </w:r>
      <w:r>
        <w:rPr>
          <w:rFonts w:ascii="Times New Roman" w:hAnsi="Times New Roman" w:cs="Times New Roman"/>
          <w:sz w:val="28"/>
          <w:szCs w:val="28"/>
        </w:rPr>
        <w:t>ия художественного произведения</w:t>
      </w:r>
      <w:r w:rsidRPr="00F04DB3">
        <w:rPr>
          <w:rFonts w:ascii="Times New Roman" w:hAnsi="Times New Roman" w:cs="Times New Roman"/>
          <w:sz w:val="28"/>
          <w:szCs w:val="28"/>
        </w:rPr>
        <w:t>.</w:t>
      </w:r>
    </w:p>
    <w:p w:rsidR="00B16EF4" w:rsidRPr="008D2561" w:rsidRDefault="00B16EF4" w:rsidP="00B16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предлагаем учащимся </w:t>
      </w:r>
      <w:r w:rsidRPr="008D2561">
        <w:rPr>
          <w:rFonts w:ascii="Times New Roman" w:hAnsi="Times New Roman" w:cs="Times New Roman"/>
          <w:sz w:val="28"/>
          <w:szCs w:val="28"/>
        </w:rPr>
        <w:t xml:space="preserve">план анализа текста, </w:t>
      </w:r>
      <w:r>
        <w:rPr>
          <w:rFonts w:ascii="Times New Roman" w:hAnsi="Times New Roman" w:cs="Times New Roman"/>
          <w:sz w:val="28"/>
          <w:szCs w:val="28"/>
        </w:rPr>
        <w:t xml:space="preserve">благодаря которому они могут проанализировать то или иное художественное произведение, так как все тексты являются абсолютно разными, они могут отличаться по мере полноты, наличия дополнительных средств выразительности. </w:t>
      </w:r>
    </w:p>
    <w:p w:rsidR="00B16EF4" w:rsidRDefault="00B16EF4" w:rsidP="00B16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анализа эпического произведения (рассказа, повести)</w:t>
      </w:r>
    </w:p>
    <w:p w:rsidR="00B16EF4" w:rsidRPr="001D28E7" w:rsidRDefault="00B16EF4" w:rsidP="00B16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7">
        <w:rPr>
          <w:rFonts w:ascii="Times New Roman" w:hAnsi="Times New Roman" w:cs="Times New Roman"/>
          <w:sz w:val="28"/>
          <w:szCs w:val="28"/>
        </w:rPr>
        <w:t>1. История создания произведения</w:t>
      </w:r>
    </w:p>
    <w:p w:rsidR="00B16EF4" w:rsidRPr="001D28E7" w:rsidRDefault="00B16EF4" w:rsidP="00B16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7">
        <w:rPr>
          <w:rFonts w:ascii="Times New Roman" w:hAnsi="Times New Roman" w:cs="Times New Roman"/>
          <w:sz w:val="28"/>
          <w:szCs w:val="28"/>
        </w:rPr>
        <w:t>2. Жанр произведения. Признаки жанра (жанров)</w:t>
      </w:r>
    </w:p>
    <w:p w:rsidR="00B16EF4" w:rsidRPr="001D28E7" w:rsidRDefault="00B16EF4" w:rsidP="00B16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7">
        <w:rPr>
          <w:rFonts w:ascii="Times New Roman" w:hAnsi="Times New Roman" w:cs="Times New Roman"/>
          <w:sz w:val="28"/>
          <w:szCs w:val="28"/>
        </w:rPr>
        <w:t>3. Название произведения и его смысл</w:t>
      </w:r>
    </w:p>
    <w:p w:rsidR="00B16EF4" w:rsidRPr="001D28E7" w:rsidRDefault="00B16EF4" w:rsidP="00B16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7">
        <w:rPr>
          <w:rFonts w:ascii="Times New Roman" w:hAnsi="Times New Roman" w:cs="Times New Roman"/>
          <w:sz w:val="28"/>
          <w:szCs w:val="28"/>
        </w:rPr>
        <w:t>4. От чьего лица ведётся повествование? Почему?</w:t>
      </w:r>
    </w:p>
    <w:p w:rsidR="00B16EF4" w:rsidRPr="001D28E7" w:rsidRDefault="00B16EF4" w:rsidP="00B16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7">
        <w:rPr>
          <w:rFonts w:ascii="Times New Roman" w:hAnsi="Times New Roman" w:cs="Times New Roman"/>
          <w:sz w:val="28"/>
          <w:szCs w:val="28"/>
        </w:rPr>
        <w:t>5. Тема и идея произведения. Проблематика</w:t>
      </w:r>
    </w:p>
    <w:p w:rsidR="00B16EF4" w:rsidRPr="001D28E7" w:rsidRDefault="00B16EF4" w:rsidP="00B16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7">
        <w:rPr>
          <w:rFonts w:ascii="Times New Roman" w:hAnsi="Times New Roman" w:cs="Times New Roman"/>
          <w:sz w:val="28"/>
          <w:szCs w:val="28"/>
        </w:rPr>
        <w:t>6. Сюжет (сюжетные линии) произведения. Конфликт. Ключевые эпизоды.</w:t>
      </w:r>
    </w:p>
    <w:p w:rsidR="00B16EF4" w:rsidRPr="001D28E7" w:rsidRDefault="00B16EF4" w:rsidP="00B16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7">
        <w:rPr>
          <w:rFonts w:ascii="Times New Roman" w:hAnsi="Times New Roman" w:cs="Times New Roman"/>
          <w:sz w:val="28"/>
          <w:szCs w:val="28"/>
        </w:rPr>
        <w:t>7. Система образов произведения</w:t>
      </w:r>
    </w:p>
    <w:p w:rsidR="00B16EF4" w:rsidRPr="001D28E7" w:rsidRDefault="00B16EF4" w:rsidP="00B16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7">
        <w:rPr>
          <w:rFonts w:ascii="Times New Roman" w:hAnsi="Times New Roman" w:cs="Times New Roman"/>
          <w:sz w:val="28"/>
          <w:szCs w:val="28"/>
        </w:rPr>
        <w:t>8. Композиция произведения</w:t>
      </w:r>
    </w:p>
    <w:p w:rsidR="00B16EF4" w:rsidRPr="001D28E7" w:rsidRDefault="00B16EF4" w:rsidP="00B16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7">
        <w:rPr>
          <w:rFonts w:ascii="Times New Roman" w:hAnsi="Times New Roman" w:cs="Times New Roman"/>
          <w:sz w:val="28"/>
          <w:szCs w:val="28"/>
        </w:rPr>
        <w:t>9. Художественные средства, приёмы, раскрывающие идею произведения</w:t>
      </w:r>
    </w:p>
    <w:p w:rsidR="00B16EF4" w:rsidRDefault="00B16EF4" w:rsidP="00B16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8E7">
        <w:rPr>
          <w:rFonts w:ascii="Times New Roman" w:hAnsi="Times New Roman" w:cs="Times New Roman"/>
          <w:sz w:val="28"/>
          <w:szCs w:val="28"/>
        </w:rPr>
        <w:t>10. Ваше читательское восприятие произведения.</w:t>
      </w:r>
    </w:p>
    <w:p w:rsidR="00B16EF4" w:rsidRPr="00CF0585" w:rsidRDefault="00B16EF4" w:rsidP="00B16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61">
        <w:rPr>
          <w:rFonts w:ascii="Times New Roman" w:hAnsi="Times New Roman"/>
          <w:sz w:val="28"/>
        </w:rPr>
        <w:t xml:space="preserve">Таким образом, в настоящее время текст является основной дидактической </w:t>
      </w:r>
      <w:r>
        <w:rPr>
          <w:rFonts w:ascii="Times New Roman" w:hAnsi="Times New Roman"/>
          <w:sz w:val="28"/>
        </w:rPr>
        <w:t>единицей на уроке русской литературы</w:t>
      </w:r>
      <w:r w:rsidRPr="008D256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Мы считаем, что предложенный план анализа в полной мере поможет проанализировать и понять литературное произведение. Поэтому на уроках русской литературы</w:t>
      </w:r>
      <w:r w:rsidRPr="008D2561">
        <w:rPr>
          <w:rFonts w:ascii="Times New Roman" w:hAnsi="Times New Roman"/>
          <w:sz w:val="28"/>
        </w:rPr>
        <w:t xml:space="preserve"> необходимо вести</w:t>
      </w:r>
      <w:r>
        <w:rPr>
          <w:rFonts w:ascii="Times New Roman" w:hAnsi="Times New Roman"/>
          <w:sz w:val="28"/>
        </w:rPr>
        <w:t xml:space="preserve"> </w:t>
      </w:r>
      <w:r w:rsidRPr="008D2561">
        <w:rPr>
          <w:rFonts w:ascii="Times New Roman" w:hAnsi="Times New Roman"/>
          <w:sz w:val="28"/>
        </w:rPr>
        <w:t>раб</w:t>
      </w:r>
      <w:r>
        <w:rPr>
          <w:rFonts w:ascii="Times New Roman" w:hAnsi="Times New Roman"/>
          <w:sz w:val="28"/>
        </w:rPr>
        <w:t>оту над текстами различных жанров</w:t>
      </w:r>
      <w:r w:rsidRPr="008D2561">
        <w:rPr>
          <w:rFonts w:ascii="Times New Roman" w:hAnsi="Times New Roman"/>
          <w:sz w:val="28"/>
        </w:rPr>
        <w:t xml:space="preserve"> и стилей. При условии правильного формирования у учащихся на уроках прочных знаний</w:t>
      </w:r>
      <w:r>
        <w:rPr>
          <w:rFonts w:ascii="Times New Roman" w:hAnsi="Times New Roman"/>
          <w:sz w:val="28"/>
        </w:rPr>
        <w:t xml:space="preserve"> осуществляется так же усвоение и закрепление приобретенных навыков, </w:t>
      </w:r>
      <w:r w:rsidRPr="008D2561">
        <w:rPr>
          <w:rFonts w:ascii="Times New Roman" w:hAnsi="Times New Roman"/>
          <w:sz w:val="28"/>
        </w:rPr>
        <w:t xml:space="preserve">происходит </w:t>
      </w:r>
      <w:r>
        <w:rPr>
          <w:rFonts w:ascii="Times New Roman" w:hAnsi="Times New Roman"/>
          <w:sz w:val="28"/>
        </w:rPr>
        <w:t xml:space="preserve">формирование необходимых умений, появляется способность к </w:t>
      </w:r>
      <w:r w:rsidRPr="008D2561">
        <w:rPr>
          <w:rFonts w:ascii="Times New Roman" w:hAnsi="Times New Roman"/>
          <w:sz w:val="28"/>
        </w:rPr>
        <w:t>составлению текстов различных типов и стилей.</w:t>
      </w:r>
    </w:p>
    <w:p w:rsidR="00B16EF4" w:rsidRPr="008A07F6" w:rsidRDefault="00B16EF4" w:rsidP="00B16EF4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4"/>
        </w:rPr>
      </w:pPr>
      <w:bookmarkStart w:id="0" w:name="_Hlk63864037"/>
    </w:p>
    <w:p w:rsidR="00B16EF4" w:rsidRDefault="00B16EF4" w:rsidP="00B16EF4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4"/>
        </w:rPr>
      </w:pPr>
    </w:p>
    <w:p w:rsidR="00B16EF4" w:rsidRDefault="00B16EF4" w:rsidP="00B16EF4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4"/>
        </w:rPr>
      </w:pPr>
    </w:p>
    <w:bookmarkEnd w:id="0"/>
    <w:p w:rsidR="00B16EF4" w:rsidRDefault="00B16EF4" w:rsidP="00B16EF4">
      <w:pPr>
        <w:pStyle w:val="a4"/>
        <w:spacing w:before="0" w:beforeAutospacing="0" w:after="0" w:afterAutospacing="0"/>
        <w:jc w:val="center"/>
        <w:outlineLvl w:val="0"/>
        <w:rPr>
          <w:rFonts w:eastAsia="Calibri" w:cs="Calibri"/>
          <w:sz w:val="28"/>
          <w:lang w:eastAsia="en-US"/>
        </w:rPr>
      </w:pPr>
    </w:p>
    <w:p w:rsidR="00B16EF4" w:rsidRDefault="00B16EF4" w:rsidP="00B16EF4">
      <w:pPr>
        <w:pStyle w:val="a4"/>
        <w:spacing w:before="0" w:beforeAutospacing="0" w:after="0" w:afterAutospacing="0"/>
        <w:jc w:val="center"/>
        <w:outlineLvl w:val="0"/>
        <w:rPr>
          <w:rFonts w:eastAsia="Calibri" w:cs="Calibri"/>
          <w:sz w:val="28"/>
          <w:lang w:eastAsia="en-US"/>
        </w:rPr>
      </w:pPr>
    </w:p>
    <w:p w:rsidR="00B16EF4" w:rsidRDefault="00B16EF4" w:rsidP="00B16EF4">
      <w:pPr>
        <w:pStyle w:val="a4"/>
        <w:spacing w:before="0" w:beforeAutospacing="0" w:after="0" w:afterAutospacing="0"/>
        <w:jc w:val="center"/>
        <w:outlineLvl w:val="0"/>
        <w:rPr>
          <w:rFonts w:eastAsia="Calibri" w:cs="Calibri"/>
          <w:sz w:val="28"/>
          <w:lang w:eastAsia="en-US"/>
        </w:rPr>
      </w:pPr>
    </w:p>
    <w:p w:rsidR="00B16EF4" w:rsidRDefault="00B16EF4" w:rsidP="00B16EF4">
      <w:pPr>
        <w:pStyle w:val="a4"/>
        <w:spacing w:before="0" w:beforeAutospacing="0" w:after="0" w:afterAutospacing="0"/>
        <w:jc w:val="center"/>
        <w:outlineLvl w:val="0"/>
        <w:rPr>
          <w:rFonts w:eastAsia="Calibri" w:cs="Calibri"/>
          <w:sz w:val="28"/>
          <w:lang w:eastAsia="en-US"/>
        </w:rPr>
      </w:pPr>
    </w:p>
    <w:p w:rsidR="00B16EF4" w:rsidRDefault="00B16EF4" w:rsidP="00B16EF4">
      <w:pPr>
        <w:pStyle w:val="a4"/>
        <w:spacing w:before="0" w:beforeAutospacing="0" w:after="0" w:afterAutospacing="0"/>
        <w:jc w:val="center"/>
        <w:outlineLvl w:val="0"/>
        <w:rPr>
          <w:rFonts w:eastAsia="Calibri" w:cs="Calibri"/>
          <w:sz w:val="28"/>
          <w:lang w:eastAsia="en-US"/>
        </w:rPr>
      </w:pPr>
    </w:p>
    <w:p w:rsidR="00B16EF4" w:rsidRDefault="00B16EF4" w:rsidP="00B16EF4">
      <w:pPr>
        <w:pStyle w:val="a4"/>
        <w:spacing w:before="0" w:beforeAutospacing="0" w:after="0" w:afterAutospacing="0"/>
        <w:jc w:val="center"/>
        <w:outlineLvl w:val="0"/>
        <w:rPr>
          <w:rFonts w:eastAsia="Calibri" w:cs="Calibri"/>
          <w:sz w:val="28"/>
          <w:lang w:eastAsia="en-US"/>
        </w:rPr>
      </w:pPr>
    </w:p>
    <w:p w:rsidR="00B16EF4" w:rsidRDefault="00B16EF4" w:rsidP="00B16EF4">
      <w:pPr>
        <w:pStyle w:val="a4"/>
        <w:spacing w:before="0" w:beforeAutospacing="0" w:after="0" w:afterAutospacing="0"/>
        <w:jc w:val="center"/>
        <w:outlineLvl w:val="0"/>
        <w:rPr>
          <w:rFonts w:eastAsia="Calibri" w:cs="Calibri"/>
          <w:sz w:val="28"/>
          <w:lang w:eastAsia="en-US"/>
        </w:rPr>
      </w:pPr>
    </w:p>
    <w:p w:rsidR="00B16EF4" w:rsidRDefault="00B16EF4" w:rsidP="00B16EF4">
      <w:pPr>
        <w:pStyle w:val="a4"/>
        <w:spacing w:before="0" w:beforeAutospacing="0" w:after="0" w:afterAutospacing="0"/>
        <w:jc w:val="center"/>
        <w:outlineLvl w:val="0"/>
        <w:rPr>
          <w:rFonts w:eastAsia="Calibri" w:cs="Calibri"/>
          <w:sz w:val="28"/>
          <w:lang w:eastAsia="en-US"/>
        </w:rPr>
      </w:pPr>
    </w:p>
    <w:p w:rsidR="00B16EF4" w:rsidRDefault="00B16EF4" w:rsidP="00B16EF4">
      <w:pPr>
        <w:pStyle w:val="a4"/>
        <w:spacing w:before="0" w:beforeAutospacing="0" w:after="0" w:afterAutospacing="0"/>
        <w:jc w:val="center"/>
        <w:outlineLvl w:val="0"/>
        <w:rPr>
          <w:rFonts w:eastAsia="Calibri" w:cs="Calibri"/>
          <w:sz w:val="28"/>
          <w:lang w:eastAsia="en-US"/>
        </w:rPr>
      </w:pPr>
    </w:p>
    <w:p w:rsidR="00B16EF4" w:rsidRDefault="00B16EF4" w:rsidP="00B16EF4">
      <w:pPr>
        <w:pStyle w:val="a4"/>
        <w:spacing w:before="0" w:beforeAutospacing="0" w:after="0" w:afterAutospacing="0"/>
        <w:jc w:val="center"/>
        <w:outlineLvl w:val="0"/>
        <w:rPr>
          <w:rFonts w:eastAsia="Calibri" w:cs="Calibri"/>
          <w:sz w:val="28"/>
          <w:lang w:eastAsia="en-US"/>
        </w:rPr>
      </w:pPr>
    </w:p>
    <w:p w:rsidR="00B16EF4" w:rsidRDefault="00B16EF4" w:rsidP="00B16EF4">
      <w:pPr>
        <w:pStyle w:val="a4"/>
        <w:spacing w:before="0" w:beforeAutospacing="0" w:after="0" w:afterAutospacing="0"/>
        <w:jc w:val="center"/>
        <w:outlineLvl w:val="0"/>
        <w:rPr>
          <w:rFonts w:eastAsia="Calibri" w:cs="Calibri"/>
          <w:sz w:val="28"/>
          <w:lang w:eastAsia="en-US"/>
        </w:rPr>
      </w:pPr>
    </w:p>
    <w:p w:rsidR="00B16EF4" w:rsidRDefault="00B16EF4" w:rsidP="00B16EF4">
      <w:pPr>
        <w:pStyle w:val="a4"/>
        <w:spacing w:before="0" w:beforeAutospacing="0" w:after="0" w:afterAutospacing="0"/>
        <w:jc w:val="center"/>
        <w:outlineLvl w:val="0"/>
        <w:rPr>
          <w:rFonts w:eastAsia="Calibri" w:cs="Calibri"/>
          <w:sz w:val="28"/>
          <w:lang w:eastAsia="en-US"/>
        </w:rPr>
      </w:pPr>
    </w:p>
    <w:p w:rsidR="00B16EF4" w:rsidRDefault="00B16EF4" w:rsidP="00B16EF4">
      <w:pPr>
        <w:pStyle w:val="a4"/>
        <w:spacing w:before="0" w:beforeAutospacing="0" w:after="0" w:afterAutospacing="0"/>
        <w:jc w:val="center"/>
        <w:outlineLvl w:val="0"/>
        <w:rPr>
          <w:rFonts w:eastAsia="Calibri" w:cs="Calibri"/>
          <w:sz w:val="28"/>
          <w:lang w:eastAsia="en-US"/>
        </w:rPr>
      </w:pPr>
    </w:p>
    <w:p w:rsidR="00B16EF4" w:rsidRDefault="00B16EF4" w:rsidP="00B16EF4">
      <w:pPr>
        <w:pStyle w:val="a4"/>
        <w:spacing w:before="0" w:beforeAutospacing="0" w:after="0" w:afterAutospacing="0"/>
        <w:jc w:val="center"/>
        <w:outlineLvl w:val="0"/>
        <w:rPr>
          <w:rFonts w:eastAsia="Calibri" w:cs="Calibri"/>
          <w:sz w:val="28"/>
          <w:lang w:eastAsia="en-US"/>
        </w:rPr>
      </w:pPr>
    </w:p>
    <w:p w:rsidR="00B16EF4" w:rsidRDefault="00B16EF4" w:rsidP="00B16EF4">
      <w:pPr>
        <w:pStyle w:val="a4"/>
        <w:spacing w:before="0" w:beforeAutospacing="0" w:after="0" w:afterAutospacing="0"/>
        <w:jc w:val="center"/>
        <w:outlineLvl w:val="0"/>
        <w:rPr>
          <w:rFonts w:eastAsia="Calibri" w:cs="Calibri"/>
          <w:sz w:val="28"/>
          <w:lang w:eastAsia="en-US"/>
        </w:rPr>
      </w:pPr>
    </w:p>
    <w:p w:rsidR="00B16EF4" w:rsidRDefault="00B16EF4" w:rsidP="00B16EF4">
      <w:pPr>
        <w:pStyle w:val="a4"/>
        <w:spacing w:before="0" w:beforeAutospacing="0" w:after="0" w:afterAutospacing="0"/>
        <w:jc w:val="center"/>
        <w:outlineLvl w:val="0"/>
        <w:rPr>
          <w:rFonts w:eastAsia="Calibri" w:cs="Calibri"/>
          <w:sz w:val="28"/>
          <w:lang w:eastAsia="en-US"/>
        </w:rPr>
      </w:pPr>
    </w:p>
    <w:p w:rsidR="00B16EF4" w:rsidRDefault="00B16EF4" w:rsidP="00B16EF4">
      <w:pPr>
        <w:pStyle w:val="a4"/>
        <w:spacing w:before="0" w:beforeAutospacing="0" w:after="0" w:afterAutospacing="0"/>
        <w:jc w:val="center"/>
        <w:outlineLvl w:val="0"/>
        <w:rPr>
          <w:rFonts w:eastAsia="Calibri" w:cs="Calibri"/>
          <w:sz w:val="28"/>
          <w:lang w:eastAsia="en-US"/>
        </w:rPr>
      </w:pPr>
      <w:r>
        <w:rPr>
          <w:rFonts w:eastAsia="Calibri" w:cs="Calibri"/>
          <w:sz w:val="28"/>
          <w:lang w:eastAsia="en-US"/>
        </w:rPr>
        <w:t>Список источников</w:t>
      </w:r>
    </w:p>
    <w:p w:rsidR="00B16EF4" w:rsidRDefault="00B16EF4" w:rsidP="00B16EF4">
      <w:pPr>
        <w:pStyle w:val="a4"/>
        <w:spacing w:before="0" w:beforeAutospacing="0" w:after="0" w:afterAutospacing="0"/>
        <w:jc w:val="center"/>
        <w:outlineLvl w:val="0"/>
        <w:rPr>
          <w:rFonts w:eastAsia="Calibri" w:cs="Calibri"/>
          <w:sz w:val="28"/>
          <w:lang w:eastAsia="en-US"/>
        </w:rPr>
      </w:pPr>
    </w:p>
    <w:p w:rsidR="00B16EF4" w:rsidRPr="00B16EF4" w:rsidRDefault="00B16EF4" w:rsidP="00B16EF4">
      <w:pPr>
        <w:pStyle w:val="a4"/>
        <w:spacing w:before="0" w:beforeAutospacing="0" w:after="0" w:afterAutospacing="0"/>
        <w:jc w:val="center"/>
        <w:outlineLvl w:val="0"/>
        <w:rPr>
          <w:rFonts w:eastAsia="Calibri" w:cs="Calibri"/>
          <w:sz w:val="28"/>
          <w:lang w:eastAsia="en-US"/>
        </w:rPr>
      </w:pPr>
    </w:p>
    <w:p w:rsidR="00B16EF4" w:rsidRPr="000B0EE8" w:rsidRDefault="00B16EF4" w:rsidP="00B16EF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6D6034">
        <w:rPr>
          <w:iCs/>
          <w:sz w:val="28"/>
          <w:szCs w:val="28"/>
        </w:rPr>
        <w:t>Светловская, Н. Н.</w:t>
      </w:r>
      <w:r w:rsidRPr="006D6034">
        <w:rPr>
          <w:i/>
          <w:iCs/>
          <w:sz w:val="28"/>
          <w:szCs w:val="28"/>
        </w:rPr>
        <w:t> </w:t>
      </w:r>
      <w:r w:rsidRPr="006D6034">
        <w:rPr>
          <w:sz w:val="28"/>
          <w:szCs w:val="28"/>
        </w:rPr>
        <w:t> Методика обучения творческому чтению:</w:t>
      </w:r>
      <w:r w:rsidRPr="006D603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 </w:t>
      </w:r>
      <w:r w:rsidRPr="006D6034">
        <w:rPr>
          <w:color w:val="000000"/>
          <w:sz w:val="28"/>
          <w:szCs w:val="28"/>
          <w:shd w:val="clear" w:color="auto" w:fill="FFFFFF"/>
        </w:rPr>
        <w:t>учебное пособие</w:t>
      </w:r>
      <w:r w:rsidRPr="006D6034">
        <w:rPr>
          <w:color w:val="000000"/>
          <w:sz w:val="28"/>
          <w:szCs w:val="28"/>
        </w:rPr>
        <w:t xml:space="preserve">. – М.: Юрайт, 2020. — 305 с. – URL  </w:t>
      </w:r>
      <w:hyperlink r:id="rId5" w:history="1">
        <w:r w:rsidRPr="006D6034">
          <w:rPr>
            <w:rStyle w:val="a3"/>
            <w:sz w:val="28"/>
            <w:szCs w:val="28"/>
          </w:rPr>
          <w:t>https://urait.ru/book/metodika-obucheniya-tvorcheskomu-chteniyu-454251</w:t>
        </w:r>
      </w:hyperlink>
      <w:r w:rsidRPr="006D6034">
        <w:rPr>
          <w:color w:val="000000"/>
          <w:sz w:val="28"/>
          <w:szCs w:val="28"/>
        </w:rPr>
        <w:t xml:space="preserve"> </w:t>
      </w:r>
    </w:p>
    <w:p w:rsidR="00B16EF4" w:rsidRPr="000B0EE8" w:rsidRDefault="00B16EF4" w:rsidP="00B16EF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0B0EE8">
        <w:rPr>
          <w:sz w:val="28"/>
          <w:szCs w:val="28"/>
        </w:rPr>
        <w:t>Сухомлинский</w:t>
      </w:r>
      <w:r>
        <w:rPr>
          <w:sz w:val="28"/>
          <w:szCs w:val="28"/>
        </w:rPr>
        <w:t xml:space="preserve"> </w:t>
      </w:r>
      <w:r w:rsidRPr="000B0EE8">
        <w:rPr>
          <w:sz w:val="28"/>
          <w:szCs w:val="28"/>
        </w:rPr>
        <w:t xml:space="preserve"> В.А. Сердце отдаю детям</w:t>
      </w:r>
      <w:r>
        <w:rPr>
          <w:sz w:val="28"/>
          <w:szCs w:val="28"/>
        </w:rPr>
        <w:t>. –– Киев:</w:t>
      </w:r>
      <w:r w:rsidRPr="000B0EE8">
        <w:rPr>
          <w:sz w:val="28"/>
          <w:szCs w:val="28"/>
        </w:rPr>
        <w:t>1974 г. - 288 с.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 </w:t>
      </w:r>
      <w:hyperlink r:id="rId6" w:history="1">
        <w:r w:rsidRPr="002F5560">
          <w:rPr>
            <w:rStyle w:val="a3"/>
            <w:sz w:val="28"/>
            <w:szCs w:val="28"/>
          </w:rPr>
          <w:t>http://pedlib.ru/Books/1/0214/1_0214-55.shtml</w:t>
        </w:r>
      </w:hyperlink>
      <w:r>
        <w:rPr>
          <w:sz w:val="28"/>
          <w:szCs w:val="28"/>
        </w:rPr>
        <w:t xml:space="preserve"> </w:t>
      </w:r>
    </w:p>
    <w:p w:rsidR="00B16EF4" w:rsidRPr="00664FAA" w:rsidRDefault="00B16EF4" w:rsidP="00B16EF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6D6034">
        <w:rPr>
          <w:iCs/>
          <w:color w:val="000000"/>
          <w:sz w:val="28"/>
          <w:szCs w:val="28"/>
        </w:rPr>
        <w:t>Алексеева, М. А. </w:t>
      </w:r>
      <w:r w:rsidRPr="006D6034">
        <w:rPr>
          <w:color w:val="000000"/>
          <w:sz w:val="28"/>
          <w:szCs w:val="28"/>
        </w:rPr>
        <w:t> Методика преподавания литературы. Практикум: учебное пособие для среднего профессионального образования</w:t>
      </w:r>
      <w:r w:rsidRPr="006D6034">
        <w:rPr>
          <w:sz w:val="28"/>
          <w:szCs w:val="28"/>
        </w:rPr>
        <w:t xml:space="preserve">. – М.: Юрайт, 2020. — 98 с. – </w:t>
      </w:r>
      <w:r w:rsidRPr="006D6034">
        <w:rPr>
          <w:color w:val="000000"/>
          <w:sz w:val="28"/>
          <w:szCs w:val="28"/>
        </w:rPr>
        <w:t xml:space="preserve">URL </w:t>
      </w:r>
      <w:hyperlink r:id="rId7" w:anchor="page/28" w:history="1">
        <w:r w:rsidRPr="006D6034">
          <w:rPr>
            <w:rStyle w:val="a3"/>
            <w:sz w:val="28"/>
            <w:szCs w:val="28"/>
          </w:rPr>
          <w:t>https://urait.ru/viewer/metodika-prepodavaniya-literatury-praktikum-455379#page/28</w:t>
        </w:r>
      </w:hyperlink>
      <w:r w:rsidRPr="006D6034">
        <w:rPr>
          <w:color w:val="000000"/>
          <w:sz w:val="28"/>
          <w:szCs w:val="28"/>
        </w:rPr>
        <w:t xml:space="preserve"> </w:t>
      </w:r>
    </w:p>
    <w:p w:rsidR="00B16EF4" w:rsidRPr="000B0EE8" w:rsidRDefault="00B16EF4" w:rsidP="00B16EF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664FAA">
        <w:rPr>
          <w:sz w:val="28"/>
          <w:szCs w:val="28"/>
        </w:rPr>
        <w:t xml:space="preserve">С. М. Джакупов. Психологическая структура процесса обучения. — 2 изд. </w:t>
      </w:r>
      <w:r>
        <w:rPr>
          <w:sz w:val="28"/>
          <w:szCs w:val="28"/>
        </w:rPr>
        <w:t xml:space="preserve">– </w:t>
      </w:r>
      <w:r w:rsidRPr="00664FAA">
        <w:rPr>
          <w:sz w:val="28"/>
          <w:szCs w:val="28"/>
        </w:rPr>
        <w:t>Алматы: К, азак, университет , 2009. - 308 с.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 </w:t>
      </w:r>
      <w:hyperlink r:id="rId8" w:history="1">
        <w:r w:rsidRPr="00D25603">
          <w:rPr>
            <w:rStyle w:val="a3"/>
            <w:sz w:val="28"/>
            <w:szCs w:val="28"/>
          </w:rPr>
          <w:t>https://www.studmed.ru/dzhakupov-sm-psihologicheskaya-struktura-processa-obucheniya_c78e14b5149.html</w:t>
        </w:r>
      </w:hyperlink>
      <w:r>
        <w:rPr>
          <w:sz w:val="28"/>
          <w:szCs w:val="28"/>
        </w:rPr>
        <w:t xml:space="preserve"> </w:t>
      </w:r>
    </w:p>
    <w:p w:rsidR="001C2D26" w:rsidRDefault="001C2D26"/>
    <w:sectPr w:rsidR="001C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F3FC5"/>
    <w:multiLevelType w:val="hybridMultilevel"/>
    <w:tmpl w:val="46D0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B16EF4"/>
    <w:rsid w:val="001C2D26"/>
    <w:rsid w:val="00B1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EF4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B1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B16E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med.ru/dzhakupov-sm-psihologicheskaya-struktura-processa-obucheniya_c78e14b514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viewer/metodika-prepodavaniya-literatury-praktikum-4553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lib.ru/Books/1/0214/1_0214-55.shtml" TargetMode="External"/><Relationship Id="rId5" Type="http://schemas.openxmlformats.org/officeDocument/2006/relationships/hyperlink" Target="https://urait.ru/book/metodika-obucheniya-tvorcheskomu-chteniyu-4542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4375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_a_s_sm_</dc:creator>
  <cp:keywords/>
  <dc:description/>
  <cp:lastModifiedBy>_a_s_sm_</cp:lastModifiedBy>
  <cp:revision>2</cp:revision>
  <dcterms:created xsi:type="dcterms:W3CDTF">2021-06-03T14:34:00Z</dcterms:created>
  <dcterms:modified xsi:type="dcterms:W3CDTF">2021-06-03T14:35:00Z</dcterms:modified>
</cp:coreProperties>
</file>