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ru-RU"/>
        </w:rPr>
        <w:t xml:space="preserve">СИРИЯ </w:t>
      </w:r>
      <w:r>
        <w:rPr>
          <w:rFonts w:hint="default" w:ascii="Times New Roman" w:hAnsi="Times New Roman" w:cs="Times New Roman"/>
          <w:b/>
          <w:bCs/>
          <w:sz w:val="28"/>
          <w:szCs w:val="28"/>
          <w:lang w:val="kk-KZ"/>
        </w:rPr>
        <w:t>АРАБ РЕСПУБЛИКАСЫНДА ЖАУЫНГЕРЛІК ІС-ҚИМЫЛДАРҒА ДАЙЫНДЫҚ БАРЫСЫНДА ЖӘНЕ ОНЫ АТҚАРУ КЕЗІНДЕ ТЫЛМЕН ҚАМТАМАСЫЗ ЕТУ ЖОЛДАРЫНЫҢ АНАЛИЗІ</w:t>
      </w:r>
    </w:p>
    <w:p>
      <w:pPr>
        <w:jc w:val="center"/>
        <w:rPr>
          <w:rFonts w:hint="default"/>
          <w:lang w:val="kk-KZ"/>
        </w:rPr>
      </w:pPr>
    </w:p>
    <w:p>
      <w:pPr>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Л.Н.Гумил</w:t>
      </w:r>
      <w:r>
        <w:rPr>
          <w:rFonts w:hint="default" w:ascii="Times New Roman" w:hAnsi="Times New Roman" w:cs="Times New Roman"/>
          <w:sz w:val="28"/>
          <w:szCs w:val="28"/>
          <w:lang w:val="ru-RU"/>
        </w:rPr>
        <w:t>ё</w:t>
      </w:r>
      <w:r>
        <w:rPr>
          <w:rFonts w:hint="default" w:ascii="Times New Roman" w:hAnsi="Times New Roman" w:cs="Times New Roman"/>
          <w:sz w:val="28"/>
          <w:szCs w:val="28"/>
          <w:lang w:val="kk-KZ"/>
        </w:rPr>
        <w:t xml:space="preserve">в атындағы Ұлттық Евразиялық университетінің </w:t>
      </w:r>
    </w:p>
    <w:p>
      <w:pPr>
        <w:ind w:left="400" w:leftChars="200" w:right="-1092" w:rightChars="-546" w:firstLine="0" w:firstLineChars="0"/>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аға оқытушысы,</w:t>
      </w:r>
    </w:p>
    <w:p>
      <w:pPr>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 Қалышев Ержан Көпжасарұлы</w:t>
      </w:r>
    </w:p>
    <w:p>
      <w:pPr>
        <w:jc w:val="center"/>
        <w:rPr>
          <w:rFonts w:hint="default" w:ascii="Times New Roman" w:hAnsi="Times New Roman" w:cs="Times New Roman"/>
          <w:sz w:val="28"/>
          <w:szCs w:val="28"/>
          <w:lang w:val="kk-KZ"/>
        </w:rPr>
      </w:pPr>
    </w:p>
    <w:tbl>
      <w:tblPr>
        <w:tblStyle w:val="4"/>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6" w:type="dxa"/>
          </w:tcPr>
          <w:p>
            <w:pPr>
              <w:widowControl w:val="0"/>
              <w:ind w:left="0" w:leftChars="0" w:firstLine="0" w:firstLineChars="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kk-KZ"/>
              </w:rPr>
              <w:t xml:space="preserve">Резюме. </w:t>
            </w:r>
            <w:r>
              <w:rPr>
                <w:rFonts w:hint="default" w:ascii="Times New Roman" w:hAnsi="Times New Roman" w:cs="Times New Roman"/>
                <w:b w:val="0"/>
                <w:bCs w:val="0"/>
                <w:sz w:val="28"/>
                <w:szCs w:val="28"/>
                <w:vertAlign w:val="baseline"/>
                <w:lang w:val="kk-KZ"/>
              </w:rPr>
              <w:t>Раскрывается сущностные характеристики тылового обеспечения группировок войск (ВКС РФ) в подготовительный период и в ходе операции, Действия тыловых частей и подразделении в рамках оказания помощи регулярной армии Сирийской Арабской Республики, гуманитарной помощи народу Сирии</w:t>
            </w:r>
            <w:r>
              <w:rPr>
                <w:rFonts w:hint="default" w:ascii="Times New Roman" w:hAnsi="Times New Roman" w:cs="Times New Roman"/>
                <w:b w:val="0"/>
                <w:bCs w:val="0"/>
                <w:sz w:val="28"/>
                <w:szCs w:val="28"/>
                <w:vertAlign w:val="baseline"/>
                <w:lang w:val="en-US"/>
              </w:rPr>
              <w:t>.</w:t>
            </w:r>
          </w:p>
          <w:p>
            <w:pPr>
              <w:widowControl w:val="0"/>
              <w:ind w:left="0" w:leftChars="0" w:firstLine="0" w:firstLineChars="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Summary.</w:t>
            </w:r>
            <w:r>
              <w:rPr>
                <w:rFonts w:hint="default" w:ascii="Times New Roman" w:hAnsi="Times New Roman" w:cs="Times New Roman"/>
                <w:b w:val="0"/>
                <w:bCs w:val="0"/>
                <w:sz w:val="28"/>
                <w:szCs w:val="28"/>
                <w:vertAlign w:val="baseline"/>
                <w:lang w:val="en-US"/>
              </w:rPr>
              <w:t xml:space="preserve"> The research paper reveals the troops logistics (Armed forces of the Russian Federation) essential characteristics onto the preparatory period and during the operation course, the actions  of logistics units and subunits</w:t>
            </w:r>
            <w:r>
              <w:rPr>
                <w:rFonts w:hint="default" w:ascii="Times New Roman" w:hAnsi="Times New Roman" w:cs="Times New Roman"/>
                <w:b w:val="0"/>
                <w:bCs w:val="0"/>
                <w:sz w:val="28"/>
                <w:szCs w:val="28"/>
                <w:vertAlign w:val="baseline"/>
                <w:lang w:val="ru-RU"/>
              </w:rPr>
              <w:t xml:space="preserve"> </w:t>
            </w:r>
            <w:r>
              <w:rPr>
                <w:rFonts w:hint="default" w:ascii="Times New Roman" w:hAnsi="Times New Roman" w:cs="Times New Roman"/>
                <w:b w:val="0"/>
                <w:bCs w:val="0"/>
                <w:sz w:val="28"/>
                <w:szCs w:val="28"/>
                <w:vertAlign w:val="baseline"/>
                <w:lang w:val="en-US"/>
              </w:rPr>
              <w:t>in the framework of Syrian Arab Republik regular army assistanse, and humanitarian assistanse to the Syria people.</w:t>
            </w:r>
          </w:p>
        </w:tc>
      </w:tr>
    </w:tbl>
    <w:p>
      <w:pPr>
        <w:jc w:val="center"/>
        <w:rPr>
          <w:rFonts w:hint="default" w:ascii="Times New Roman" w:hAnsi="Times New Roman" w:cs="Times New Roman"/>
          <w:sz w:val="28"/>
          <w:szCs w:val="28"/>
          <w:lang w:val="kk-KZ"/>
        </w:rPr>
      </w:pP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Сириядағы Ресей Қарулы Күштері іс-әрекеттерінің тиімділігі көп жағдайда Ресей Федерациясының ұлттық территориясынан жырақта шоғырланған ресей топтарын материалдық-техникалық қамтамасыз етуді ұйымдастыруға тәуелді болды.</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Сирия үкіметі күштеріне қару-жарақ, әскери техника мен әскери мүліктердің көп мөлшерде жеткізілуін ұйымдастыру материалдық қамтамасыз етудің алғы шарты болып табылады </w:t>
      </w:r>
      <w:r>
        <w:rPr>
          <w:rFonts w:hint="default" w:ascii="Times New Roman" w:hAnsi="Times New Roman" w:cs="Times New Roman"/>
          <w:sz w:val="28"/>
          <w:szCs w:val="28"/>
          <w:lang w:val="en-US"/>
        </w:rPr>
        <w:t>[1]</w:t>
      </w:r>
      <w:r>
        <w:rPr>
          <w:rFonts w:hint="default" w:ascii="Times New Roman" w:hAnsi="Times New Roman" w:cs="Times New Roman"/>
          <w:sz w:val="28"/>
          <w:szCs w:val="28"/>
          <w:lang w:val="kk-KZ"/>
        </w:rPr>
        <w:t>.</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Алғашқы кезеңнен бастап сирия компаниясын материалдық-техникалық қамтамасыз ету Ресей тарапына күрделі тапсырма болды. Сирияның Ресеймен ортақ шекарасы жоқ және бұрынғы Кеңес одағының шекарасынан бөлініп тұр: солтүстігінен - достығы жараспаған Түркиямен, шығысынан - азамат соғысы шарпыған Ирак және </w:t>
      </w:r>
      <w:r>
        <w:rPr>
          <w:rFonts w:hint="default" w:ascii="Times New Roman" w:hAnsi="Times New Roman" w:cs="Times New Roman"/>
          <w:sz w:val="28"/>
          <w:szCs w:val="28"/>
          <w:lang w:val="ru-RU"/>
        </w:rPr>
        <w:t>И</w:t>
      </w:r>
      <w:r>
        <w:rPr>
          <w:rFonts w:hint="default" w:ascii="Times New Roman" w:hAnsi="Times New Roman" w:cs="Times New Roman"/>
          <w:sz w:val="28"/>
          <w:szCs w:val="28"/>
          <w:lang w:val="kk-KZ"/>
        </w:rPr>
        <w:t>ран территорияларымен қоршалған.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kk-KZ"/>
        </w:rPr>
        <w:t>Сондықтан, Ресейден Сирия территориясына өту үшінші мемлекеттердің әуе кеңістігімен  (әуе жолы), тек транзит арқылы немесе сириялық порттарға теңіз жолы арқылы  мүмкін болды. Түркия және басқа мемлекеттер - НАТО мүшелері Ресейлік тасымалдар үшін өз әуе кеңістіктерін жапқаннан кейін Сирияға ұшу Иран мен Ирак әуе кеңістігі арқылы мүмкін еді, бұл жағдай осы мемлекеттер үкіметтерінің  бұлтартпас келісімін алуды керек етті. Ирак үкіметі АҚШ-тан біршама тәуелді болғандықтан аталған мемлекет осы мәселе бойынша ерекше қиындықтар тудырды.</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Осыған </w:t>
      </w:r>
      <w:r>
        <w:rPr>
          <w:rFonts w:hint="default" w:ascii="Times New Roman" w:hAnsi="Times New Roman" w:cs="Times New Roman"/>
          <w:sz w:val="28"/>
          <w:szCs w:val="28"/>
          <w:lang w:val="ru-RU"/>
        </w:rPr>
        <w:t>б</w:t>
      </w:r>
      <w:r>
        <w:rPr>
          <w:rFonts w:hint="default" w:ascii="Times New Roman" w:hAnsi="Times New Roman" w:cs="Times New Roman"/>
          <w:sz w:val="28"/>
          <w:szCs w:val="28"/>
          <w:lang w:val="kk-KZ"/>
        </w:rPr>
        <w:t>айланысты, Сирияға әскери жүктерді тасымалдаудың негізгі жолы теңіз арқылы жүзеге асырылды, бұл жол арқылы әскери жүктерді көп мөлшерде жеткізу мүмкін болды. Алайда жүктерді теңіз арқылы жиі және жүйелі тасымалдауды ұйымдастыру біршама орындаушылық талаптарын қажет етті: теңіз кемелерінің тоннажы мен әскери кемелердің саны, барлық сатыларда оперативтік тапсырмаларды орындау кезінде жоспарлау мен әскери басқару органдарының дайындығы талаптарға сәйкес болуды керек етеді.</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Жүктерді арту және түсіру порттарының өзара қашықтығы жиі әскери теңіз тасымалын орындау кезінде қиыншылықтар тудырды, сонымен қатар бейбіт уақытта батыс мемлекеттерінің Сирия үкіметіне қарсы тікелей теңіз блокадасын енгізуі де осы қиыншылықтарға себепші болды. 1971 жылы Тартус портында орналасқан Ресей ӘТФ 720 материалдық-техникалық қамтамасыз ету  бекеті жабдықтау заттарын және әскери мүліктерді жеткізуде сириялық негізгі порт болды. Тартуста Ресейлік әскери-теңіз құрамаларының болуы келіп жеткен әскери жүктерді ұйымдасқан, уақытылы және қауіпсіз жағдайда түсіруге, сонымен қатар келген кемелерді қорғауға және материалдық-техникалық қамтамасыз етуге мүмкіндік берді </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2,5-б</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Ресей ӘТФ Сирияға транспорттық жеткізуді ұйымдастыруға тапсырма алған кезде біршама қиындықтарға тап болды, себебі, осы мақсатқа пайдалануға болатын кемелердің санаулы болуымен қатар тоннажы сәйкес келмеді. 2012 жылы кеңестік кезеңдегі ӘТФ әскери транспортының көп бөлігі есептен шығарылған немесе жарамсыз жағдайда, ал қалған аздаған кемелер бір мақсаттағы арнайы жабдықталған (мысалы, зымыран тасығыштар болды), немесе жүк сиымдылығы шектеулі болды. Тартуста жүкті түсіру үшін кемелердің мықты кран құрылғыларымен жабдықталуы маңызды еді. Сондықтан Сирияға жүк тасымалдауға ӘТФ әскери транспорты көп уақыт қолданылмады, Сирия бағаытындағы транспорттық флоттың негізін ӘТФ үлкен десанттық кемелері (ҮДК) құрады </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2,6-б</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Транспорттық мүмкіндіктері бойынша Ресей ӘТФ үлкен десанттық кемелерінің артықшылығы - сол кеиелердің құрамында рампасы бар десанттық трюмдардың бар болуы, осы рампалар арқылы транспорттық құрылғылар жылжып жүріп жүктерді артуға және түсіруге мүмкіндік берді. Сонымен қатар, жабдықталмаған орындарда жұмыстарды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жағадан-жағаға</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әдісімен орындауға болатын еді. Ескі десанттық кемелердің жаңа кемелерге қарағанда сиымдылығы көбірек болды, сонымен бірге кран құрылғыларымен жабдықталған. Алайда үлкен десанттық кемелердің жалпы сиымдылығы коммерциялық жүк кемелерімен салыстырғанда аз мөлшерде болғандықтан теңіз жорығының көбеюіне әкеліп соғады.</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Осылайша Ресей ӘТФ Сирияға әскери теңіз жорығын орындау кезінде негізгі әскери жүктердің жеткізілуін қамтамасыз етті. Сирияға қару-жарақ пен жабдықтау заттарын үлкен десанттық кемелермен ұдайы жеткізу ресейлік ресми емес ақпарат көздерінде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Сириялық экспресс</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деп аталып кетті. Екінші дүниежүзілік соғыс кезеңінде 1942-1943 жылдары Гуадалканал аралына әскер мен басқа да жабдықтау заттарын тасымалдаған жапон флотының жауынгерлік кемелері (крейсерлер мен эсминецтері)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Токиялық экспресс</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деп аталғандықтан, сәйкесінше Ресей ӘТФ Сирияға әскери теңіз жорығына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Сириялық экспресс</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деген атау берді</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3</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2015 жылдың қыркүйек айында басталған Сириядаға Ресейлік әскери кампания әскери тасымалдауды үдетуді талап етті, өйткені Сириялық армияны әскери жабдықтармен қолдаудан басқа белсенді түрде жауынгерлік іс-әрекет жүргізіп жатқан Сириядағы Ресейлік әскери топтарды қамтамасыз ету ендігі уақытта басты тапсырма болып саналған болатын. Осы тапсырмаларды орындау үшін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Хмеймим</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авиабазасындағы ресейлік әскери топтары басқармасының жанынан жүктерді теңіз және әуе жолдарымен жеткізуді үйлестіретін әскери тасымалдауды басқарудың арнайы штабы құрылды. Теңізбен жеткізудің мүмкіншілігін арттыру мақсатында 2015 жылы Тартуста ресейліктермен материалдық-техникалық қамтамасыз ету бекетінің айлағын кеңейту және су түбін тереңдету жұмыстары жүргізілді.</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Осылайша әскери теңіз тасымалы Сирия армиясын және Сириядағы ресей әскери топтарын қамтамасыз етуде басым тасымал әдісі болып табылады, осы әдіспен Сирия бағытындағы жалпы ресейлік әскери тасымалдың 80-85</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көлемі жеткізіледі. Тасымалдар РФ ӘТФ туымен жүргізілді, себебі палуба мен трюмдар мемлекет аумағы болып табылатындықтан әскери кемелер тексерілмеді. РФ-нан Латакияға оқ-дәрілерді тасымалдау кезінде, тікұшақтар мен ӘҚК жүйелерін тасымалдауда Шотландия жағаларында орын алған халықаралық дау-дамайлардан кейін тасымалдау кезінде азаматтық кемелерді пайдалану тоқтатылды.</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Алыс қашыққа әскери топтарды теңізбен тасымалдау және оларды қамтамасыз ету, кемелердің қозғалысын ұзақ уақыт бойы және жоғары жиілікте ұйымдастыру Ресей флоты тарихында алғаш рет орындалды.</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Сириядағы ресейлік авиациялық топтардық табысты іс-әрекеті мен Сирия әскерінің шабуылдық әрекеттерге көшуі, бірінші кезекте, Ресейден теңіз әскери тасымалын тиімді ұйымдастырудың арқасында орындалды. </w:t>
      </w:r>
    </w:p>
    <w:p>
      <w:p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 Сирия басшыларының пікірінше, осы кездегі исламистердің позициясына жасалып жатқан ресей әуе шабуылының ауқымы жеткіліксіз деп шешті. Осыған байланысты, авиация тәулігіне жауға қарсы үш есеге дейін зымыран-бомбалық соққы беруі тиіс, атап айтқанда тәулігіне 60 рет ұшудың орнына 200 рет ұшуы керек. Осындай қарқында соғысу үшін мына іс-шаралар орындалуы керек болды:</w:t>
      </w:r>
    </w:p>
    <w:p>
      <w:pPr>
        <w:numPr>
          <w:ilvl w:val="0"/>
          <w:numId w:val="1"/>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соққы беретін ұшақтардың топтарын ұлғайту керек;</w:t>
      </w:r>
    </w:p>
    <w:p>
      <w:pPr>
        <w:numPr>
          <w:ilvl w:val="0"/>
          <w:numId w:val="1"/>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кемінде және бір аэродромды жабдықтау керек;</w:t>
      </w:r>
    </w:p>
    <w:p>
      <w:pPr>
        <w:numPr>
          <w:ilvl w:val="0"/>
          <w:numId w:val="1"/>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ұлғаятын авиациялық топтардың тылмен қамтамасыз ету көлемін көбейту керек (ЖЖМ, азық-түлік және басқа материалдық-техникалық заттар ұлғаяды)</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4, 7-б</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Операцияның бастапқы кезінен бастап РФ МТҚЕ тәулік бойы ресейлік ӘКК (Әскери-космостық күштердің) алдына қойылған тапсырмалардың орындалуын қамтамасыз етуде.</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Осы мақсат үшін теңдесі жоқ логистикалық схема құрылды және Сириядағы РФ әскери базасын қамтамасыз ету мүлтіксіз орындалуда. НАТО мамандары да оны </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Сириялық экспресс</w:t>
      </w:r>
      <w:r>
        <w:rPr>
          <w:rFonts w:hint="default" w:ascii="Times New Roman" w:hAnsi="Times New Roman" w:cs="Times New Roman"/>
          <w:sz w:val="28"/>
          <w:szCs w:val="28"/>
          <w:lang w:val="ru-RU"/>
        </w:rPr>
        <w:t>»</w:t>
      </w:r>
      <w:r>
        <w:rPr>
          <w:rFonts w:hint="default" w:ascii="Times New Roman" w:hAnsi="Times New Roman" w:cs="Times New Roman"/>
          <w:sz w:val="28"/>
          <w:szCs w:val="28"/>
          <w:lang w:val="kk-KZ"/>
        </w:rPr>
        <w:t xml:space="preserve"> деп атады</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4, 3-б</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Ресей қарулы күштерінде, сондай ақ коммерциялық ұйымдарда құрылған жер, әуе, теңіз транспорттары қамтылған логистикалық схема жұмысын істей бастады.</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2015 жылы 200 тоннадан астам материалдық құндылықтар жеткізілді. Сирия Араб Республикасына аз уақытта және жасырын түрде алыс қашықтыққа қару-жарағымен қоса жеке құрам, әскери техника қорымен, сонымен қатар әртүрлі құрылғылар жеткізілді. Инфрақұрылым, материалдық құндылықтардың қоймалары (соның ішінде зымыран мен оқ-дәрілер), далалық парктер май құю бекеттерімен, ас дайындау, нан пісіру, сумен қамтамасыз ету және монша, кір жуу құрылғылары орналастырылды. Істен шыққан техника әскери жөндеу органдарының өз күштерімен және Хомстағы зауыт көмегімен орнына келтірілді </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5</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Алғаш рет әскери қызметшілерді орналастыру үшін жиналмалы-ашылмалы блок-контейнерлер салқындатқыш жүйелерімен пайдаланылды. Осы блокта тек тұрғын бөлмелері ғана емес, әртүрлі жағдайда пайдаланылатын бөлмелерде орналастырылды.</w:t>
      </w:r>
    </w:p>
    <w:p>
      <w:pPr>
        <w:numPr>
          <w:ilvl w:val="0"/>
          <w:numId w:val="0"/>
        </w:numPr>
        <w:ind w:firstLine="708" w:firstLineChars="0"/>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Сирияда МТҚЕ мамандары авиациялық техникаға май құю, ЖЖМ қамтамасыз ету, азықтандыруды ұйымдастыру, монша, кір жуу қызметтерін көрсету, аэродром инфрақұрылымына жөндеу жұмыстарын жүргізу, оларды қалыпты жағдайда ұстау, Тартустағы РФ ӘТФ МТО бекетінен авиабазаға жүктерді жеткізу және т.б. жұмыстарды атқарды.</w:t>
      </w:r>
    </w:p>
    <w:p>
      <w:pPr>
        <w:numPr>
          <w:ilvl w:val="0"/>
          <w:numId w:val="0"/>
        </w:numPr>
        <w:ind w:firstLine="708" w:firstLineChars="0"/>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Ыстық аймақтарға арналған әскери форма және жылдың әр мезгіліне арналған киімдер үлгісін енгізу осы шешімнің дұрыстығын мойындатты.</w:t>
      </w:r>
    </w:p>
    <w:p>
      <w:pPr>
        <w:numPr>
          <w:ilvl w:val="0"/>
          <w:numId w:val="0"/>
        </w:numPr>
        <w:ind w:firstLine="708" w:firstLineChars="0"/>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Гуманитарлық көмек көрсету кезінде тылдық қызметтер өз қызметтерін көрсетті. Мысалы,</w:t>
      </w:r>
      <w:bookmarkStart w:id="0" w:name="_GoBack"/>
      <w:bookmarkEnd w:id="0"/>
      <w:r>
        <w:rPr>
          <w:rFonts w:hint="default" w:ascii="Times New Roman" w:hAnsi="Times New Roman" w:cs="Times New Roman"/>
          <w:sz w:val="28"/>
          <w:szCs w:val="28"/>
          <w:lang w:val="kk-KZ"/>
        </w:rPr>
        <w:t xml:space="preserve"> далалық нан зауыты Сирия халқын өз үйлеріне оралғаннан кейін ыстық нанмен қамтамасыз етті.</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Сирия Араб Республикасын толық көлемде жан-жақты материалдық-техникалық қамтамасыз ету үшін МТҚЕ штабы жұмыс істеп тұр. Оның ішінде оперативті топтар, орталық әскери басқару органдарының офицерлері мен генералдарынан жасақталған жедел бөлім және МТҚЕ академиясының ғылыми-зерттеу институтынан тұратын құрылымдар өз жұмыстарын орындауда</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6</w:t>
      </w:r>
      <w:r>
        <w:rPr>
          <w:rFonts w:hint="default" w:ascii="Times New Roman" w:hAnsi="Times New Roman" w:cs="Times New Roman"/>
          <w:sz w:val="28"/>
          <w:szCs w:val="28"/>
          <w:lang w:val="en-US"/>
        </w:rPr>
        <w:t>]</w:t>
      </w:r>
      <w:r>
        <w:rPr>
          <w:rFonts w:hint="default" w:ascii="Times New Roman" w:hAnsi="Times New Roman" w:cs="Times New Roman"/>
          <w:sz w:val="28"/>
          <w:szCs w:val="28"/>
          <w:lang w:val="kk-KZ"/>
        </w:rPr>
        <w:t>.</w:t>
      </w:r>
    </w:p>
    <w:p>
      <w:pPr>
        <w:numPr>
          <w:ilvl w:val="0"/>
          <w:numId w:val="0"/>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Қорытындылай келе, Сириядағы жауынгерлік іс-әрекеттерді тылмен қамтамасыз етуді талдаудан кейін мүлтіксіз орындалатын іс-шараларды ұсынамыз:</w:t>
      </w:r>
    </w:p>
    <w:p>
      <w:pPr>
        <w:numPr>
          <w:ilvl w:val="0"/>
          <w:numId w:val="2"/>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стратегиялық бағыттағы әскер топтарын материалдық құндылықтармен қамтамасыз ету үшін  белгіленген қор болуы қажет;</w:t>
      </w:r>
    </w:p>
    <w:p>
      <w:pPr>
        <w:numPr>
          <w:ilvl w:val="0"/>
          <w:numId w:val="2"/>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Қазақстан Республикасы Қарулы Күштерінің тылдық бөлімшелері мен бөлімдерінің тылдық құрылымдарын жетілдіруді тоқтатпау;</w:t>
      </w:r>
    </w:p>
    <w:p>
      <w:pPr>
        <w:numPr>
          <w:ilvl w:val="0"/>
          <w:numId w:val="2"/>
        </w:numPr>
        <w:ind w:left="0" w:leftChars="0" w:firstLine="599" w:firstLineChars="214"/>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Тыл бөлімшелерін осы заманғы талаптарға сәйкес жаңа үлгідегі техникалармен қамтамасыз ету.</w:t>
      </w:r>
    </w:p>
    <w:p>
      <w:pPr>
        <w:numPr>
          <w:ilvl w:val="0"/>
          <w:numId w:val="0"/>
        </w:numPr>
        <w:ind w:leftChars="214"/>
        <w:jc w:val="both"/>
        <w:rPr>
          <w:rFonts w:hint="default" w:ascii="Times New Roman" w:hAnsi="Times New Roman" w:cs="Times New Roman"/>
          <w:sz w:val="28"/>
          <w:szCs w:val="28"/>
          <w:lang w:val="kk-KZ"/>
        </w:rPr>
      </w:pPr>
    </w:p>
    <w:p>
      <w:pPr>
        <w:numPr>
          <w:ilvl w:val="0"/>
          <w:numId w:val="0"/>
        </w:numPr>
        <w:ind w:leftChars="214"/>
        <w:jc w:val="center"/>
        <w:rPr>
          <w:rFonts w:hint="default" w:ascii="Times New Roman" w:hAnsi="Times New Roman" w:cs="Times New Roman"/>
          <w:b/>
          <w:bCs/>
          <w:sz w:val="28"/>
          <w:szCs w:val="28"/>
          <w:lang w:val="kk-KZ"/>
        </w:rPr>
      </w:pPr>
    </w:p>
    <w:p>
      <w:pPr>
        <w:numPr>
          <w:ilvl w:val="0"/>
          <w:numId w:val="0"/>
        </w:numPr>
        <w:ind w:leftChars="214"/>
        <w:jc w:val="center"/>
        <w:rPr>
          <w:rFonts w:hint="default" w:ascii="Times New Roman" w:hAnsi="Times New Roman" w:cs="Times New Roman"/>
          <w:b/>
          <w:bCs/>
          <w:sz w:val="28"/>
          <w:szCs w:val="28"/>
          <w:lang w:val="kk-KZ"/>
        </w:rPr>
      </w:pPr>
    </w:p>
    <w:p>
      <w:pPr>
        <w:numPr>
          <w:ilvl w:val="0"/>
          <w:numId w:val="0"/>
        </w:numPr>
        <w:ind w:leftChars="214"/>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Пайдаланған әдебиеттер тізімі:</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Хроленко А. Для чего Военно-морская база в Сирии/</w:t>
      </w:r>
      <w:r>
        <w:rPr>
          <w:rFonts w:hint="default" w:ascii="Times New Roman" w:hAnsi="Times New Roman" w:cs="Times New Roman"/>
          <w:b w:val="0"/>
          <w:bCs w:val="0"/>
          <w:sz w:val="28"/>
          <w:szCs w:val="28"/>
          <w:lang w:val="en-US"/>
        </w:rPr>
        <w:t xml:space="preserve">https//sputnik.georgia.ru/26.12.2017 </w:t>
      </w:r>
      <w:r>
        <w:rPr>
          <w:rFonts w:hint="default" w:ascii="Times New Roman" w:hAnsi="Times New Roman" w:cs="Times New Roman"/>
          <w:b w:val="0"/>
          <w:bCs w:val="0"/>
          <w:sz w:val="28"/>
          <w:szCs w:val="28"/>
          <w:lang w:val="kk-KZ"/>
        </w:rPr>
        <w:t>г.</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 xml:space="preserve">Тихонов А. Операция в Сирии показала силу России/ газета Красная Звезда. 2018 жылғы 31 қаңтардағы </w:t>
      </w:r>
      <w:r>
        <w:rPr>
          <w:rFonts w:hint="default" w:ascii="Times New Roman" w:hAnsi="Times New Roman" w:cs="Times New Roman"/>
          <w:b w:val="0"/>
          <w:bCs w:val="0"/>
          <w:sz w:val="28"/>
          <w:szCs w:val="28"/>
          <w:lang w:val="ru-RU"/>
        </w:rPr>
        <w:t>№10 басылым.</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ru-RU"/>
        </w:rPr>
        <w:t>Кац А. Обманчивая невзрачность базы в Тартусе// газета Комсомольская правда. 2016 жыл</w:t>
      </w:r>
      <w:r>
        <w:rPr>
          <w:rFonts w:hint="default" w:ascii="Times New Roman" w:hAnsi="Times New Roman" w:cs="Times New Roman"/>
          <w:b w:val="0"/>
          <w:bCs w:val="0"/>
          <w:sz w:val="28"/>
          <w:szCs w:val="28"/>
          <w:lang w:val="kk-KZ"/>
        </w:rPr>
        <w:t>ы 10 қарашадағы басылым.</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w:t>
      </w:r>
      <w:r>
        <w:rPr>
          <w:rFonts w:hint="default" w:ascii="Times New Roman" w:hAnsi="Times New Roman" w:cs="Times New Roman"/>
          <w:b w:val="0"/>
          <w:bCs w:val="0"/>
          <w:sz w:val="28"/>
          <w:szCs w:val="28"/>
          <w:lang w:val="en-US"/>
        </w:rPr>
        <w:t xml:space="preserve">https//ru. wikipedia.org. </w:t>
      </w:r>
      <w:r>
        <w:rPr>
          <w:rFonts w:hint="default" w:ascii="Times New Roman" w:hAnsi="Times New Roman" w:cs="Times New Roman"/>
          <w:b w:val="0"/>
          <w:bCs w:val="0"/>
          <w:sz w:val="28"/>
          <w:szCs w:val="28"/>
          <w:lang w:val="ru-RU"/>
        </w:rPr>
        <w:t>Сирийский экспресс. 2018 ж. 20.11./18:51</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ru-RU"/>
        </w:rPr>
        <w:t>Шишкин А. Российские десантные корабли создали «дорогу жизни для Сирии»/ деловая газета ВЗГЛЯД, 2017 ж. 02.10.</w:t>
      </w:r>
    </w:p>
    <w:p>
      <w:pPr>
        <w:numPr>
          <w:ilvl w:val="0"/>
          <w:numId w:val="3"/>
        </w:numPr>
        <w:ind w:left="0" w:leftChars="0" w:firstLine="599" w:firstLineChars="214"/>
        <w:jc w:val="both"/>
        <w:rPr>
          <w:rFonts w:hint="default" w:ascii="Times New Roman" w:hAnsi="Times New Roman" w:cs="Times New Roman"/>
          <w:b w:val="0"/>
          <w:bCs w:val="0"/>
          <w:sz w:val="28"/>
          <w:szCs w:val="28"/>
          <w:lang w:val="kk-KZ"/>
        </w:rPr>
      </w:pPr>
      <w:r>
        <w:rPr>
          <w:rFonts w:hint="default" w:ascii="Times New Roman" w:hAnsi="Times New Roman" w:cs="Times New Roman"/>
          <w:b w:val="0"/>
          <w:bCs w:val="0"/>
          <w:sz w:val="28"/>
          <w:szCs w:val="28"/>
          <w:lang w:val="kk-KZ"/>
        </w:rPr>
        <w:t>/</w:t>
      </w:r>
      <w:r>
        <w:rPr>
          <w:rFonts w:hint="default" w:ascii="Times New Roman" w:hAnsi="Times New Roman" w:cs="Times New Roman"/>
          <w:b w:val="0"/>
          <w:bCs w:val="0"/>
          <w:sz w:val="28"/>
          <w:szCs w:val="28"/>
          <w:lang w:val="en-US"/>
        </w:rPr>
        <w:t xml:space="preserve">https/tass.ru/info/ </w:t>
      </w:r>
      <w:r>
        <w:rPr>
          <w:rFonts w:hint="default" w:ascii="Times New Roman" w:hAnsi="Times New Roman" w:cs="Times New Roman"/>
          <w:b w:val="0"/>
          <w:bCs w:val="0"/>
          <w:sz w:val="28"/>
          <w:szCs w:val="28"/>
          <w:lang w:val="ru-RU"/>
        </w:rPr>
        <w:t>Пункт материально-технического обеспечения ВМФ России в Тартусе. Досье. 2017 ж. 13.12 .</w:t>
      </w:r>
    </w:p>
    <w:p>
      <w:pPr>
        <w:numPr>
          <w:ilvl w:val="0"/>
          <w:numId w:val="0"/>
        </w:numPr>
        <w:ind w:left="0" w:leftChars="0" w:firstLine="599" w:firstLineChars="214"/>
        <w:jc w:val="both"/>
        <w:rPr>
          <w:rFonts w:hint="default" w:ascii="Times New Roman" w:hAnsi="Times New Roman" w:cs="Times New Roman"/>
          <w:sz w:val="28"/>
          <w:szCs w:val="28"/>
          <w:lang w:val="kk-KZ"/>
        </w:rPr>
      </w:pPr>
    </w:p>
    <w:p>
      <w:pPr>
        <w:numPr>
          <w:ilvl w:val="0"/>
          <w:numId w:val="0"/>
        </w:numPr>
        <w:ind w:left="0" w:leftChars="0" w:firstLine="599" w:firstLineChars="214"/>
        <w:jc w:val="both"/>
        <w:rPr>
          <w:rFonts w:hint="default" w:ascii="Times New Roman" w:hAnsi="Times New Roman" w:cs="Times New Roman"/>
          <w:sz w:val="28"/>
          <w:szCs w:val="28"/>
          <w:lang w:val="kk-KZ"/>
        </w:rPr>
      </w:pPr>
    </w:p>
    <w:sectPr>
      <w:pgSz w:w="11906" w:h="16838"/>
      <w:pgMar w:top="1440" w:right="7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B5A48"/>
    <w:multiLevelType w:val="singleLevel"/>
    <w:tmpl w:val="BB5B5A48"/>
    <w:lvl w:ilvl="0" w:tentative="0">
      <w:start w:val="1"/>
      <w:numFmt w:val="decimal"/>
      <w:suff w:val="space"/>
      <w:lvlText w:val="%1."/>
      <w:lvlJc w:val="left"/>
    </w:lvl>
  </w:abstractNum>
  <w:abstractNum w:abstractNumId="1">
    <w:nsid w:val="D96102F4"/>
    <w:multiLevelType w:val="singleLevel"/>
    <w:tmpl w:val="D96102F4"/>
    <w:lvl w:ilvl="0" w:tentative="0">
      <w:start w:val="1"/>
      <w:numFmt w:val="decimal"/>
      <w:suff w:val="space"/>
      <w:lvlText w:val="%1)"/>
      <w:lvlJc w:val="left"/>
    </w:lvl>
  </w:abstractNum>
  <w:abstractNum w:abstractNumId="2">
    <w:nsid w:val="223685B3"/>
    <w:multiLevelType w:val="singleLevel"/>
    <w:tmpl w:val="223685B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2A0D"/>
    <w:rsid w:val="0C3927E0"/>
    <w:rsid w:val="11A17547"/>
    <w:rsid w:val="154E2BBB"/>
    <w:rsid w:val="16AA1997"/>
    <w:rsid w:val="16E5189F"/>
    <w:rsid w:val="1B794971"/>
    <w:rsid w:val="204342AA"/>
    <w:rsid w:val="302926E9"/>
    <w:rsid w:val="35F818B9"/>
    <w:rsid w:val="3EF41A2C"/>
    <w:rsid w:val="423C4ECF"/>
    <w:rsid w:val="4F7A7766"/>
    <w:rsid w:val="50003EF1"/>
    <w:rsid w:val="54541284"/>
    <w:rsid w:val="549B3510"/>
    <w:rsid w:val="57502662"/>
    <w:rsid w:val="648625DB"/>
    <w:rsid w:val="655D3234"/>
    <w:rsid w:val="66E36D15"/>
    <w:rsid w:val="690767A2"/>
    <w:rsid w:val="74380439"/>
    <w:rsid w:val="7D1A1B5D"/>
    <w:rsid w:val="7E1C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2021-12-21T07:16:00Z</dcterms:created>
  <dc:creator>w2</dc:creator>
  <cp:lastModifiedBy>w2</cp:lastModifiedBy>
  <dcterms:modified xsi:type="dcterms:W3CDTF">2022-01-04T05:24:54Z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58189AF7F2A94AFF9DBDC91436151B9C</vt:lpwstr>
  </property>
</Properties>
</file>