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6D" w:rsidRPr="007046E8" w:rsidRDefault="00BB2046" w:rsidP="00BB204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7046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ТОЛҚЫНДАРДАН, ЖЕЛДЕН, АҒЫННАН, МҰЗДАН ЖӘНЕ ОЛАРДЫҢ КОМБИНАЦИЯСЫНАН ЖҮКТЕМЕЛЕРДІҢ ӘСЕРІНЕН ҚАБАТТЫ АНИЗОТРОПТЫ НЕГІЗДЕГІ ТЕҢІ</w:t>
      </w:r>
      <w:proofErr w:type="gramStart"/>
      <w:r w:rsidRPr="007046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proofErr w:type="gramEnd"/>
      <w:r w:rsidRPr="007046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БҰРҒЫЛАУ ПЛАТФОРМАЛАРЫНЫҢ ТЕРБЕЛІСІ</w:t>
      </w:r>
    </w:p>
    <w:p w:rsidR="00BB2046" w:rsidRPr="007046E8" w:rsidRDefault="00BB2046" w:rsidP="00BB2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046E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Канатова Ақгүл Ерланқызы</w:t>
      </w:r>
    </w:p>
    <w:p w:rsidR="00BB2046" w:rsidRPr="007046E8" w:rsidRDefault="00BB2046" w:rsidP="00BB2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46E8">
        <w:rPr>
          <w:rFonts w:ascii="Times New Roman" w:hAnsi="Times New Roman" w:cs="Times New Roman"/>
          <w:sz w:val="28"/>
          <w:szCs w:val="28"/>
          <w:lang w:val="kk-KZ"/>
        </w:rPr>
        <w:t>«Құрылыс инжиниринг» ббб 2 курс магистранты</w:t>
      </w:r>
    </w:p>
    <w:p w:rsidR="00BB2046" w:rsidRPr="007046E8" w:rsidRDefault="00BB2046" w:rsidP="00BB2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46E8">
        <w:rPr>
          <w:rFonts w:ascii="Times New Roman" w:hAnsi="Times New Roman" w:cs="Times New Roman"/>
          <w:sz w:val="28"/>
          <w:szCs w:val="28"/>
          <w:lang w:val="en-US"/>
        </w:rPr>
        <w:t>akgulkanatova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>02@</w:t>
      </w:r>
      <w:proofErr w:type="spellStart"/>
      <w:r w:rsidRPr="007046E8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>.</w:t>
      </w:r>
      <w:r w:rsidRPr="007046E8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7046E8" w:rsidRPr="0013403D" w:rsidRDefault="00BB2046" w:rsidP="0013403D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7046E8">
        <w:rPr>
          <w:rFonts w:ascii="Times New Roman" w:hAnsi="Times New Roman" w:cs="Times New Roman"/>
          <w:sz w:val="28"/>
          <w:szCs w:val="28"/>
          <w:lang w:val="kk-KZ"/>
        </w:rPr>
        <w:t>Ғылыми жетекші:</w:t>
      </w:r>
      <w:r w:rsidRPr="007046E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Нығметов М.Ж.</w:t>
      </w:r>
    </w:p>
    <w:p w:rsidR="00527D6D" w:rsidRPr="0013403D" w:rsidRDefault="0013403D" w:rsidP="001340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ab/>
      </w:r>
      <w:r w:rsidR="007046E8" w:rsidRPr="00292A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Андатпа</w:t>
      </w:r>
      <w:r w:rsidR="007046E8" w:rsidRPr="00134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.</w:t>
      </w:r>
      <w:r w:rsidRPr="00134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Бұл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мақалада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теңіз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бұ</w:t>
      </w:r>
      <w:proofErr w:type="gram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ғылау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платформаларына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әсер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ететін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негізгі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табиғи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жүктемелер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толқын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теңіз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ағыны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мұз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және</w:t>
      </w:r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олардың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біріккен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(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комбинациялық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)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әсері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қарастырылады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Платформалардың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қабатты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анизотропты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негізде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орналасуы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жағдайында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тербеліс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сипаттамаларының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өзгеруі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динамикалық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жауаптың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ерекшеліктері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және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есептік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модельдеу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тәсілдері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талданады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нәтижелері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теңіз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құрылыстарының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сенімділігі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мен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қауіпсіздігін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арттыру</w:t>
      </w:r>
      <w:proofErr w:type="gram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ға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бағытталған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3403D" w:rsidRPr="0013403D" w:rsidRDefault="0013403D" w:rsidP="007046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ab/>
      </w:r>
      <w:r w:rsidRPr="001340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Аннотация</w:t>
      </w:r>
      <w:r w:rsidRPr="001340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Pr="001340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этой статье рассматриваются основные природные нагрузки, влияющие на морские буровые платформы – приливы, ветры, морские течения, лед и их комбинированное (комбинационное) воздействие. В условиях расположения платформ на </w:t>
      </w:r>
      <w:proofErr w:type="spellStart"/>
      <w:r w:rsidRPr="001340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слоистойизотропной</w:t>
      </w:r>
      <w:proofErr w:type="spellEnd"/>
      <w:r w:rsidRPr="001340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основе анализируются изменения колебательных характеристик, особенности динамического отклика и подходы к расчетному моделированию. Результаты исследования направлены на повышение надежности и безопасности морских сооружений.</w:t>
      </w:r>
    </w:p>
    <w:p w:rsidR="00527D6D" w:rsidRPr="0013403D" w:rsidRDefault="0013403D" w:rsidP="007046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ab/>
      </w:r>
      <w:r w:rsidRPr="001340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Кілтті</w:t>
      </w:r>
      <w:r w:rsidR="00527D6D" w:rsidRPr="001340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сөздер</w:t>
      </w:r>
      <w:proofErr w:type="spellEnd"/>
      <w:r w:rsidR="00527D6D" w:rsidRPr="001340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теңіз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бұрғылау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платформасы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тербеліс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динамикалық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жүктеме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анизотропты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негіз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толқын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мұз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әсері</w:t>
      </w:r>
      <w:proofErr w:type="spellEnd"/>
      <w:r w:rsidR="00527D6D" w:rsidRPr="00134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27D6D" w:rsidRPr="007046E8" w:rsidRDefault="0013403D" w:rsidP="00C37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ғылау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мұнай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-газ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өндіруде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факторлардың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айнымалы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әсеріне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ұшырайды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толқындардан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ағындарынан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мұздан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туындайтын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жүктемелер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беріктігі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сенімділігіне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төндіруі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D7" w:rsidRDefault="0013403D" w:rsidP="00C37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геологиялық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қасиеттерге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серпімділік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сипаттамалары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бағытқа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болғандықтан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жауабы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үрлі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негіздермен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салыстырғанда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едәуір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өзгеше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C379D7" w:rsidRDefault="00C379D7" w:rsidP="00C37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Қабатты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негіздің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сипаттамасы</w:t>
      </w:r>
      <w:proofErr w:type="spellEnd"/>
      <w:r w:rsidR="0013403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геологиялық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қабаттардан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қабаттың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серпімділік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тығыздық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беріктік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параметрлері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D6D" w:rsidRPr="007046E8" w:rsidRDefault="00527D6D" w:rsidP="00704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серпімді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модульдер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</w:t>
      </w:r>
      <w:proofErr w:type="gram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ыт</w:t>
      </w:r>
      <w:proofErr w:type="gram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өзгереді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D6D" w:rsidRPr="007046E8" w:rsidRDefault="00527D6D" w:rsidP="00704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толқындардың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біркелкі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D6D" w:rsidRPr="007046E8" w:rsidRDefault="00527D6D" w:rsidP="00704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энергияның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сөнуі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қабаттар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7046E8" w:rsidRDefault="0013403D" w:rsidP="00C37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берілетін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жүктемелердің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інуіне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режимдерінің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күрделенуіне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әкеледі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D7" w:rsidRDefault="0013403D" w:rsidP="00C379D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Толқындық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жүктемелер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Толқындар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платформаларына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факторлардың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Толқын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биіктігі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периоды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жиіліктерімен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резонанстық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күшейіп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басқаларында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әлсіреуі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ықтимал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13403D" w:rsidRDefault="00C379D7" w:rsidP="00C379D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жүктемелері</w:t>
      </w:r>
      <w:proofErr w:type="spellEnd"/>
      <w:r w:rsidR="0013403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Желдің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надстройка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ігіне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көлденең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тудырып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күштер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күштердің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біркелкі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D7" w:rsidRDefault="0013403D" w:rsidP="00C379D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ағынының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әсері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ағыны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астындағы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элементтеріне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үздіксіз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ағындар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жиіл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тербелістер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тудырып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шаршау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құбылыстарының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C379D7" w:rsidRDefault="00C379D7" w:rsidP="00C379D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Мұз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жүктемелері</w:t>
      </w:r>
      <w:proofErr w:type="spellEnd"/>
      <w:r w:rsidR="0013403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аймақтарда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мұзды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қысымы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соққысы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қауіпті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жүктемелері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көбінесе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импульстік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күрт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тербелістер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13403D" w:rsidRDefault="0013403D" w:rsidP="00C379D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Комбинациялық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ақты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жүктемелер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көбінесе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Толқын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ағынның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біріккен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кеңістіктік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күрделендіріп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негіздің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13403D" w:rsidRDefault="0013403D" w:rsidP="00C379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Тербелі</w:t>
      </w:r>
      <w:proofErr w:type="gram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есептеу және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модельдеу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латформалардың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D6D" w:rsidRPr="007046E8" w:rsidRDefault="00527D6D" w:rsidP="00BB2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көпд</w:t>
      </w:r>
      <w:proofErr w:type="gram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әрежелі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еркіндікке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динамикалық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модельдер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D6D" w:rsidRPr="007046E8" w:rsidRDefault="00527D6D" w:rsidP="00BB2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D6D" w:rsidRPr="007046E8" w:rsidRDefault="00527D6D" w:rsidP="00C379D7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спектралдық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proofErr w:type="gram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қытша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7046E8" w:rsidRDefault="0013403D" w:rsidP="00C37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есепке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серпімділік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матрицалары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енгізіліп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тірек-негіз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D7" w:rsidRPr="00C379D7" w:rsidRDefault="0013403D" w:rsidP="00C379D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Инженерлік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маңызы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Платформалардың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C379D7" w:rsidRDefault="00C379D7" w:rsidP="00C379D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379D7" w:rsidRPr="00C379D7" w:rsidRDefault="00C379D7" w:rsidP="00C379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7D6D" w:rsidRPr="007046E8" w:rsidRDefault="00527D6D" w:rsidP="00BB2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конструкция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элементтерінің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шаршау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беріктігін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арттыруға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D6D" w:rsidRPr="007046E8" w:rsidRDefault="00527D6D" w:rsidP="00BB2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апаттық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жағдайлардың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D6D" w:rsidRPr="007046E8" w:rsidRDefault="00527D6D" w:rsidP="00BB2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экономикалық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шығындарды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азайту</w:t>
      </w:r>
      <w:proofErr w:type="gram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D6D" w:rsidRPr="0013403D" w:rsidRDefault="0013403D" w:rsidP="00C37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негіздегі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ғылау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есептерді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D7" w:rsidRDefault="0013403D" w:rsidP="00C379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ғылау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платформасының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динамикалық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бойынша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Ньюмарктың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қадамдық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интеграциялау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кеңінен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Жалпы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D6D" w:rsidRPr="00C379D7" w:rsidRDefault="00527D6D" w:rsidP="00C37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E284E" w:rsidRPr="00704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</w:t>
      </w:r>
      <w:r w:rsidRPr="00704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704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t)+</w:t>
      </w:r>
      <w:r w:rsidR="001E284E" w:rsidRPr="00704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Cu(t)+Ku(t)=F(t)</w:t>
      </w:r>
    </w:p>
    <w:p w:rsidR="00C379D7" w:rsidRDefault="001E284E" w:rsidP="00C379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4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мұндағы M, C, K</w:t>
      </w:r>
      <w:r w:rsidR="00527D6D" w:rsidRPr="00704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— тиісінше массалар, демпфирлеу және қатаңдық матрицалары.</w:t>
      </w:r>
    </w:p>
    <w:p w:rsidR="00527D6D" w:rsidRPr="007046E8" w:rsidRDefault="00C379D7" w:rsidP="00C37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B23CAF" w:rsidRPr="00704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Ньюмарк әдісінде уақыттың  t+∆</w:t>
      </w:r>
      <w:r w:rsidR="00527D6D" w:rsidRPr="00704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t сәтіндегі орын ауыстыру мен жылдамдық келесі өрнектермен анықталады:</w:t>
      </w:r>
    </w:p>
    <w:p w:rsidR="005345DC" w:rsidRPr="007046E8" w:rsidRDefault="00C379D7" w:rsidP="00BB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t+∆t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+∆t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+∆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-β</m:t>
              </m:r>
            </m:e>
          </m:d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+β∆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t+∆t</m:t>
              </m:r>
            </m:sub>
          </m:sSub>
        </m:oMath>
      </m:oMathPara>
    </w:p>
    <w:p w:rsidR="008C11B3" w:rsidRPr="007046E8" w:rsidRDefault="00C379D7" w:rsidP="00BB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t+∆t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+∆t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1-γ</m:t>
              </m:r>
            </m:e>
          </m:d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+γ∆t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t+∆t</m:t>
              </m:r>
            </m:sub>
          </m:sSub>
        </m:oMath>
      </m:oMathPara>
    </w:p>
    <w:p w:rsidR="00527D6D" w:rsidRPr="007046E8" w:rsidRDefault="00527D6D" w:rsidP="00BB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ұндағы</w:t>
      </w:r>
      <w:proofErr w:type="spell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D6D" w:rsidRPr="007046E8" w:rsidRDefault="00B23CAF" w:rsidP="00BB20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∆t</w:t>
      </w:r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D6D" w:rsidRPr="007046E8" w:rsidRDefault="00B23CAF" w:rsidP="00BB20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β </w:t>
      </w:r>
      <w:proofErr w:type="gramStart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 γ</w:t>
      </w:r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Ньюмарк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әдісінің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параметрлері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D7" w:rsidRDefault="00C379D7" w:rsidP="00C379D7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практикада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мәндер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D6D" w:rsidRPr="00C379D7" w:rsidRDefault="00527D6D" w:rsidP="00C379D7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3CAF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β </w:t>
      </w:r>
      <w:r w:rsidR="00C379D7">
        <w:rPr>
          <w:rFonts w:ascii="Times New Roman" w:eastAsia="Times New Roman" w:hAnsi="Times New Roman" w:cs="Times New Roman"/>
          <w:sz w:val="28"/>
          <w:szCs w:val="28"/>
          <w:lang w:eastAsia="ru-RU"/>
        </w:rPr>
        <w:t>= 0,25,  γ = 0,5</w:t>
      </w:r>
    </w:p>
    <w:p w:rsidR="00982977" w:rsidRDefault="0013403D" w:rsidP="00C379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параметрлер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Ньюмарк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шартсыз</w:t>
      </w:r>
      <w:proofErr w:type="spellEnd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орнықты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анизотропты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негіздегі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ғылау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платформаларының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толқын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жүктемелерінен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туындайтын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сызықты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әлсіз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сызықтық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тербелістерін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сипаттауға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="00527D6D" w:rsidRPr="0070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03D" w:rsidRPr="0013403D" w:rsidRDefault="0013403D" w:rsidP="00C379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340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Толқындардан, желден, ағыннан, мұздан және олардың комбинациясынан туындайтын жүктемелер теңіз бұрғылау платформаларының тербелісіне айтарлықтай әсер етеді. Қабатты анизотропты негіз жағдайында бұл әсерлер күрделене түсіп, платформаның динамикалық жауабын жан-жақты талдауды талап етеді. Ұсынылған талдау нәтижелері теңіз платформаларын жобалау мен пайдалануда қауіпсіздік деңгейін арттыруға негіз бола алады.</w:t>
      </w:r>
    </w:p>
    <w:p w:rsidR="00C379D7" w:rsidRDefault="00C379D7" w:rsidP="007046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046E8" w:rsidRPr="007046E8" w:rsidRDefault="007046E8" w:rsidP="007046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6E8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Пайдаланылған әдебиеттер</w:t>
      </w:r>
      <w:r w:rsidRPr="007046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46E8" w:rsidRPr="007046E8" w:rsidRDefault="007046E8" w:rsidP="007046E8">
      <w:pPr>
        <w:pStyle w:val="a9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М.Ж.Нигметов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>, Т.Т. Султано</w:t>
      </w:r>
      <w:proofErr w:type="gramStart"/>
      <w:r w:rsidRPr="007046E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7046E8">
        <w:rPr>
          <w:rFonts w:ascii="Times New Roman" w:hAnsi="Times New Roman" w:cs="Times New Roman"/>
          <w:sz w:val="28"/>
          <w:szCs w:val="28"/>
        </w:rPr>
        <w:t xml:space="preserve"> Влияние анизотропии донного основания и </w:t>
      </w: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ветроволновых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 xml:space="preserve"> условий на механическое состояние элементов морской буровой платформы. Монография. Актау: редакционно-издательский отдел КУТИ им Ш. </w:t>
      </w: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>, 2023, 112 с.</w:t>
      </w:r>
    </w:p>
    <w:p w:rsidR="007046E8" w:rsidRPr="007046E8" w:rsidRDefault="007046E8" w:rsidP="007046E8">
      <w:pPr>
        <w:pStyle w:val="a9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Айталиев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 xml:space="preserve"> Ш.М., </w:t>
      </w: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Масанов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 xml:space="preserve"> Ж.К., </w:t>
      </w: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Божанов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 xml:space="preserve"> Е.Т., </w:t>
      </w: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Дюсембаев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7046E8">
        <w:rPr>
          <w:rFonts w:ascii="Times New Roman" w:hAnsi="Times New Roman" w:cs="Times New Roman"/>
          <w:sz w:val="28"/>
          <w:szCs w:val="28"/>
        </w:rPr>
        <w:t>Нигметов</w:t>
      </w:r>
      <w:proofErr w:type="spellEnd"/>
      <w:r w:rsidRPr="007046E8">
        <w:rPr>
          <w:rFonts w:ascii="Times New Roman" w:hAnsi="Times New Roman" w:cs="Times New Roman"/>
          <w:sz w:val="28"/>
          <w:szCs w:val="28"/>
        </w:rPr>
        <w:t xml:space="preserve"> М.Ж. Проблемы устойчивого функционирования инженерных сооружений на шельфе казахстанского сектора Каспия.// Третья Ассамблея Ассоциации университетов Прикаспийских государств, 01-05. 10.1998.-Актау, с. 5-8.</w:t>
      </w:r>
    </w:p>
    <w:p w:rsidR="007046E8" w:rsidRDefault="007046E8" w:rsidP="007046E8">
      <w:pPr>
        <w:pStyle w:val="a9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046E8">
        <w:rPr>
          <w:rFonts w:ascii="Times New Roman" w:hAnsi="Times New Roman" w:cs="Times New Roman"/>
          <w:sz w:val="28"/>
          <w:szCs w:val="28"/>
        </w:rPr>
        <w:t>Косарев А.Н. Гидрология Каспийского</w:t>
      </w:r>
      <w:r>
        <w:rPr>
          <w:rFonts w:ascii="Times New Roman" w:hAnsi="Times New Roman" w:cs="Times New Roman"/>
          <w:sz w:val="28"/>
          <w:szCs w:val="28"/>
        </w:rPr>
        <w:t xml:space="preserve"> и Аральского морей – М.: изд. МГУ, 1975.- 213с.</w:t>
      </w:r>
    </w:p>
    <w:p w:rsidR="007046E8" w:rsidRPr="00953EA3" w:rsidRDefault="007046E8" w:rsidP="007046E8">
      <w:pPr>
        <w:pStyle w:val="a9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Атлас льдов Каспийского моря.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1961.-76 с.</w:t>
      </w:r>
    </w:p>
    <w:p w:rsidR="00DD0ACC" w:rsidRPr="007046E8" w:rsidRDefault="00DD0ACC" w:rsidP="007046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0ACC" w:rsidRPr="007046E8" w:rsidSect="00BB204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8217B"/>
    <w:multiLevelType w:val="multilevel"/>
    <w:tmpl w:val="33E4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E6210"/>
    <w:multiLevelType w:val="multilevel"/>
    <w:tmpl w:val="9D8A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65BEB"/>
    <w:multiLevelType w:val="multilevel"/>
    <w:tmpl w:val="2DF0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77CD0"/>
    <w:multiLevelType w:val="multilevel"/>
    <w:tmpl w:val="20B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B54B1"/>
    <w:multiLevelType w:val="hybridMultilevel"/>
    <w:tmpl w:val="845EB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30B90"/>
    <w:multiLevelType w:val="multilevel"/>
    <w:tmpl w:val="80FA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57185"/>
    <w:multiLevelType w:val="multilevel"/>
    <w:tmpl w:val="A15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ED"/>
    <w:rsid w:val="0013403D"/>
    <w:rsid w:val="001E284E"/>
    <w:rsid w:val="00475EED"/>
    <w:rsid w:val="00527D6D"/>
    <w:rsid w:val="005345DC"/>
    <w:rsid w:val="006776E8"/>
    <w:rsid w:val="007046E8"/>
    <w:rsid w:val="008C11B3"/>
    <w:rsid w:val="00982977"/>
    <w:rsid w:val="00B23CAF"/>
    <w:rsid w:val="00BB2046"/>
    <w:rsid w:val="00C379D7"/>
    <w:rsid w:val="00D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7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7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D6D"/>
    <w:rPr>
      <w:b/>
      <w:bCs/>
    </w:rPr>
  </w:style>
  <w:style w:type="character" w:styleId="a5">
    <w:name w:val="Emphasis"/>
    <w:basedOn w:val="a0"/>
    <w:uiPriority w:val="20"/>
    <w:qFormat/>
    <w:rsid w:val="00527D6D"/>
    <w:rPr>
      <w:i/>
      <w:iCs/>
    </w:rPr>
  </w:style>
  <w:style w:type="character" w:styleId="a6">
    <w:name w:val="Placeholder Text"/>
    <w:basedOn w:val="a0"/>
    <w:uiPriority w:val="99"/>
    <w:semiHidden/>
    <w:rsid w:val="00DD0AC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D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A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4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7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7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D6D"/>
    <w:rPr>
      <w:b/>
      <w:bCs/>
    </w:rPr>
  </w:style>
  <w:style w:type="character" w:styleId="a5">
    <w:name w:val="Emphasis"/>
    <w:basedOn w:val="a0"/>
    <w:uiPriority w:val="20"/>
    <w:qFormat/>
    <w:rsid w:val="00527D6D"/>
    <w:rPr>
      <w:i/>
      <w:iCs/>
    </w:rPr>
  </w:style>
  <w:style w:type="character" w:styleId="a6">
    <w:name w:val="Placeholder Text"/>
    <w:basedOn w:val="a0"/>
    <w:uiPriority w:val="99"/>
    <w:semiHidden/>
    <w:rsid w:val="00DD0AC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D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A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4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Akgul</dc:creator>
  <cp:keywords/>
  <dc:description/>
  <cp:lastModifiedBy>Akgul</cp:lastModifiedBy>
  <cp:revision>5</cp:revision>
  <dcterms:created xsi:type="dcterms:W3CDTF">2026-01-24T16:30:00Z</dcterms:created>
  <dcterms:modified xsi:type="dcterms:W3CDTF">2026-05-12T08:44:00Z</dcterms:modified>
</cp:coreProperties>
</file>