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E4" w:rsidRDefault="00F339E4" w:rsidP="00B70C11">
      <w:pPr>
        <w:rPr>
          <w:rFonts w:ascii="Times New Roman" w:hAnsi="Times New Roman" w:cs="Times New Roman"/>
          <w:b/>
          <w:sz w:val="28"/>
          <w:szCs w:val="28"/>
        </w:rPr>
      </w:pPr>
      <w:r>
        <w:rPr>
          <w:rFonts w:ascii="Times New Roman" w:hAnsi="Times New Roman" w:cs="Times New Roman"/>
          <w:b/>
          <w:sz w:val="28"/>
          <w:szCs w:val="28"/>
        </w:rPr>
        <w:t xml:space="preserve">Валиев Айдар </w:t>
      </w:r>
      <w:proofErr w:type="spellStart"/>
      <w:r>
        <w:rPr>
          <w:rFonts w:ascii="Times New Roman" w:hAnsi="Times New Roman" w:cs="Times New Roman"/>
          <w:b/>
          <w:sz w:val="28"/>
          <w:szCs w:val="28"/>
        </w:rPr>
        <w:t>Амангельдинович</w:t>
      </w:r>
      <w:proofErr w:type="spellEnd"/>
      <w:r>
        <w:rPr>
          <w:rFonts w:ascii="Times New Roman" w:hAnsi="Times New Roman" w:cs="Times New Roman"/>
          <w:b/>
          <w:sz w:val="28"/>
          <w:szCs w:val="28"/>
        </w:rPr>
        <w:t xml:space="preserve"> </w:t>
      </w:r>
    </w:p>
    <w:p w:rsidR="00F339E4" w:rsidRDefault="00F339E4" w:rsidP="00B70C11">
      <w:pPr>
        <w:rPr>
          <w:rFonts w:ascii="Times New Roman" w:hAnsi="Times New Roman" w:cs="Times New Roman"/>
          <w:b/>
          <w:sz w:val="28"/>
          <w:szCs w:val="28"/>
        </w:rPr>
      </w:pPr>
      <w:r>
        <w:rPr>
          <w:rFonts w:ascii="Times New Roman" w:hAnsi="Times New Roman" w:cs="Times New Roman"/>
          <w:b/>
          <w:sz w:val="28"/>
          <w:szCs w:val="28"/>
        </w:rPr>
        <w:t>Назарбаев Интеллектуальная школа химико-биологического направления г. Петропавловска</w:t>
      </w:r>
    </w:p>
    <w:p w:rsidR="00F339E4" w:rsidRDefault="00F339E4" w:rsidP="00B70C11">
      <w:pPr>
        <w:rPr>
          <w:rFonts w:ascii="Times New Roman" w:hAnsi="Times New Roman" w:cs="Times New Roman"/>
          <w:b/>
          <w:sz w:val="28"/>
          <w:szCs w:val="28"/>
        </w:rPr>
      </w:pPr>
    </w:p>
    <w:p w:rsidR="00F339E4" w:rsidRDefault="00F339E4" w:rsidP="00B70C11">
      <w:pPr>
        <w:rPr>
          <w:rFonts w:ascii="Times New Roman" w:hAnsi="Times New Roman" w:cs="Times New Roman"/>
          <w:b/>
          <w:sz w:val="28"/>
          <w:szCs w:val="28"/>
        </w:rPr>
      </w:pPr>
    </w:p>
    <w:p w:rsidR="00B70C11" w:rsidRPr="00B70C11" w:rsidRDefault="00F339E4" w:rsidP="00B70C11">
      <w:pPr>
        <w:rPr>
          <w:rFonts w:ascii="Times New Roman" w:hAnsi="Times New Roman" w:cs="Times New Roman"/>
          <w:b/>
          <w:sz w:val="28"/>
          <w:szCs w:val="28"/>
        </w:rPr>
      </w:pPr>
      <w:r>
        <w:rPr>
          <w:rFonts w:ascii="Times New Roman" w:hAnsi="Times New Roman" w:cs="Times New Roman"/>
          <w:b/>
          <w:sz w:val="28"/>
          <w:szCs w:val="28"/>
        </w:rPr>
        <w:t>СОСТОЯНИЕ ФИЗИЧЕСКОГО ПРОГРЕССА</w:t>
      </w:r>
      <w:r w:rsidR="00B70C11" w:rsidRPr="00B70C11">
        <w:rPr>
          <w:rFonts w:ascii="Times New Roman" w:hAnsi="Times New Roman" w:cs="Times New Roman"/>
          <w:b/>
          <w:sz w:val="28"/>
          <w:szCs w:val="28"/>
        </w:rPr>
        <w:t xml:space="preserve"> И ПОДГОТОВЛЕННОСТИ ДЕТЕЙ, ЗАНИМАЮЩИХСЯ ФУТБОЛОМ И НЕ ЗАНИМАЮЩИХСЯ СПОРТОМ </w:t>
      </w:r>
    </w:p>
    <w:p w:rsidR="00B70C11" w:rsidRDefault="00B70C11" w:rsidP="00B70C11">
      <w:pPr>
        <w:rPr>
          <w:rFonts w:ascii="Times New Roman" w:hAnsi="Times New Roman" w:cs="Times New Roman"/>
          <w:sz w:val="28"/>
          <w:szCs w:val="28"/>
        </w:rPr>
      </w:pPr>
      <w:r>
        <w:rPr>
          <w:rFonts w:ascii="Times New Roman" w:hAnsi="Times New Roman" w:cs="Times New Roman"/>
          <w:i/>
          <w:sz w:val="28"/>
          <w:szCs w:val="28"/>
        </w:rPr>
        <w:t xml:space="preserve">      </w:t>
      </w:r>
      <w:r w:rsidRPr="00B70C11">
        <w:rPr>
          <w:rFonts w:ascii="Times New Roman" w:hAnsi="Times New Roman" w:cs="Times New Roman"/>
          <w:i/>
          <w:sz w:val="28"/>
          <w:szCs w:val="28"/>
        </w:rPr>
        <w:t xml:space="preserve"> </w:t>
      </w:r>
      <w:r w:rsidRPr="00B70C11">
        <w:rPr>
          <w:rFonts w:ascii="Times New Roman" w:hAnsi="Times New Roman" w:cs="Times New Roman"/>
          <w:i/>
          <w:sz w:val="28"/>
          <w:szCs w:val="28"/>
        </w:rPr>
        <w:t>В исследовании рассмотрена динамика показателей физического развития (массы тела и его длины, жизненной ёмкости лёгких и задержки дыхания на вдохе и выдохе) и физической по</w:t>
      </w:r>
      <w:r w:rsidR="00F339E4">
        <w:rPr>
          <w:rFonts w:ascii="Times New Roman" w:hAnsi="Times New Roman" w:cs="Times New Roman"/>
          <w:i/>
          <w:sz w:val="28"/>
          <w:szCs w:val="28"/>
        </w:rPr>
        <w:t>дготовленности (время пробега</w:t>
      </w:r>
      <w:r w:rsidRPr="00B70C11">
        <w:rPr>
          <w:rFonts w:ascii="Times New Roman" w:hAnsi="Times New Roman" w:cs="Times New Roman"/>
          <w:i/>
          <w:sz w:val="28"/>
          <w:szCs w:val="28"/>
        </w:rPr>
        <w:t xml:space="preserve"> 30 метров с высокого старта, длина прыжка с места) футболистов 8–10 лет за двухлетний период занятий в сравнении с аналогичными показателями у детей, не занимающихся спортом. С увеличением двигательной активности юных футболистов в первую очередь возрастают функциональные показатели задержки дыхания, а затем параллельно в тесной взаимосвязи возрастает: масса тела (мышечная масса), длина тела, жизненная ёмкость лёгких и показ</w:t>
      </w:r>
      <w:bookmarkStart w:id="0" w:name="_GoBack"/>
      <w:bookmarkEnd w:id="0"/>
      <w:r w:rsidRPr="00B70C11">
        <w:rPr>
          <w:rFonts w:ascii="Times New Roman" w:hAnsi="Times New Roman" w:cs="Times New Roman"/>
          <w:i/>
          <w:sz w:val="28"/>
          <w:szCs w:val="28"/>
        </w:rPr>
        <w:t>атели физической подготовленности.</w:t>
      </w:r>
      <w:r w:rsidRPr="00B70C11">
        <w:rPr>
          <w:rFonts w:ascii="Times New Roman" w:hAnsi="Times New Roman" w:cs="Times New Roman"/>
          <w:sz w:val="28"/>
          <w:szCs w:val="28"/>
        </w:rPr>
        <w:t xml:space="preserve"> </w:t>
      </w:r>
    </w:p>
    <w:p w:rsidR="00B70C11" w:rsidRPr="00F339E4" w:rsidRDefault="00B70C11" w:rsidP="00B70C11">
      <w:pPr>
        <w:rPr>
          <w:rFonts w:ascii="Times New Roman" w:hAnsi="Times New Roman" w:cs="Times New Roman"/>
          <w:b/>
          <w:sz w:val="28"/>
          <w:szCs w:val="28"/>
        </w:rPr>
      </w:pPr>
      <w:r w:rsidRPr="00F339E4">
        <w:rPr>
          <w:rFonts w:ascii="Times New Roman" w:hAnsi="Times New Roman" w:cs="Times New Roman"/>
          <w:b/>
          <w:sz w:val="28"/>
          <w:szCs w:val="28"/>
        </w:rPr>
        <w:t xml:space="preserve">         </w:t>
      </w:r>
      <w:r w:rsidRPr="00F339E4">
        <w:rPr>
          <w:rFonts w:ascii="Times New Roman" w:hAnsi="Times New Roman" w:cs="Times New Roman"/>
          <w:b/>
          <w:sz w:val="28"/>
          <w:szCs w:val="28"/>
        </w:rPr>
        <w:t xml:space="preserve">Введение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Работы последних лет связали проблему роста организма с особенностями развития его функций, а, следовательно, с основными проблемами: обучаемостью и становлением двигательных умений и навыков. Как известно, к основным показателям, характеризующим индивид, относятся длина тела (ДТ) и масса тела (МТ).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Проведенные Р. Н. Дороховым наблюдения показали, что отклонения ростового процесса от популяционной кривой имеют нормальное распределение [1]. Обследовав 3107 детей, автор отмечает, что максимальная прибавка в росте может достигать 12 см. Изменяются биомеханические характеристики детей, связанные с расположением общего и парциального центров тяжести тела, а, следовательно, меняется биодинамика работы мышц.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Вторым весьма значимым показателем, используемым при отборе и ориентации в спорте, является МТ, находящаяся, как и рост тела, под контролем наследственных и влиянием средовых факторов.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Некоторые авторы утверждают, что относиться к МТ как интегральному и единственному показателю, который может быть положен в основу планирования тренировочных нагрузок, нельзя, так как он отражает не </w:t>
      </w:r>
      <w:r w:rsidRPr="00B70C11">
        <w:rPr>
          <w:rFonts w:ascii="Times New Roman" w:hAnsi="Times New Roman" w:cs="Times New Roman"/>
          <w:sz w:val="28"/>
          <w:szCs w:val="28"/>
        </w:rPr>
        <w:lastRenderedPageBreak/>
        <w:t>только гормональные процессы в организме, но и индивидуальные особенности наследственно запрограммированной перестройки габаритного варьирования, отражающиеся в вариантах развития ребенка [2]. Учитывая в комплексе индивидуальные приросты длины и массы тела, можно с высокой точностью следить за эффективностью тренировочного процесса, прогнозировать и планировать тренировочные нагрузки.</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Одним из основных методов увеличения функциональных резервов и стимуляции физического развития человека заслуженно является его достаточная двигательная активность [3]. История использования физических тренировок для повышения функциональных резервов и стимуляции физического развития организма человека насчитывает тысячелетия [4]. При этом по-прежнему актуально исследование методических аспектов тренировочных технологий в отношении возрастных, половых и региональных групп [5].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Младший школьный возраст – это возраст, когда дети начинают активно посещать спортивные школы и клубы, и им необходимо заложить основы правильного и разностороннего развития двигательного аппарата, а также привить интерес к систематической физической активности [1], [3].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До достижения оптимальной возрастной границы в игровых видах спорта невозможно дать точное заключение о наличии у юных спортсменов задатков, одарённости и способностей, позволяющих им надеяться на достижения высокого уровня [5], [6]. Однако выявить целесообразность дальнейшего спортивного обучения, совершенствования, определить их направления, правильно сориентировать дальнейшую подготовку спортсменов необходимо. Решить эти задачи можно лишь на основе комплексного анализа данных, при котором должны учитываться морфологические, функциональные и психические особенности юных спортсменов, их адаптационные возможности, реакция на тренировочные и соревновательные нагрузки, способность к освоению и совершенствованию новых движений и действий [6].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В связи с недостаточным количеством исследований, посвященных влиянию занятий футболом на молодой организм, имеется необходимость изучения динамики морфофункциональных показателей физического развития юных футболистов (групп начальной подготовки) младшего школьного возраста и их физической подготовленности в сравнении с аналогичными показателями у мальчиков 8–10 лет, не занимающихся в спортивных школах. </w:t>
      </w:r>
    </w:p>
    <w:p w:rsidR="00B70C11" w:rsidRDefault="00B70C11" w:rsidP="00B70C11">
      <w:pPr>
        <w:rPr>
          <w:rFonts w:ascii="Times New Roman" w:hAnsi="Times New Roman" w:cs="Times New Roman"/>
          <w:sz w:val="28"/>
          <w:szCs w:val="28"/>
        </w:rPr>
      </w:pPr>
      <w:r w:rsidRPr="00B70C11">
        <w:rPr>
          <w:rFonts w:ascii="Times New Roman" w:hAnsi="Times New Roman" w:cs="Times New Roman"/>
          <w:b/>
          <w:sz w:val="28"/>
          <w:szCs w:val="28"/>
        </w:rPr>
        <w:t>Материалы и методы</w:t>
      </w:r>
      <w:r w:rsidRPr="00B70C11">
        <w:rPr>
          <w:rFonts w:ascii="Times New Roman" w:hAnsi="Times New Roman" w:cs="Times New Roman"/>
          <w:sz w:val="28"/>
          <w:szCs w:val="28"/>
        </w:rPr>
        <w:t xml:space="preserve">. Исследование проведено с участием 60 мальчиков 8–10 лет, за которыми осуществляли двухлетние педагогические наблюдения с </w:t>
      </w:r>
      <w:r w:rsidRPr="00B70C11">
        <w:rPr>
          <w:rFonts w:ascii="Times New Roman" w:hAnsi="Times New Roman" w:cs="Times New Roman"/>
          <w:sz w:val="28"/>
          <w:szCs w:val="28"/>
        </w:rPr>
        <w:lastRenderedPageBreak/>
        <w:t>интервалом в полгода. Дети, занимающиеся в футбольных школах (30 человек), имели еженедельно дополнительно к урокам физкультуры 6 учебных часов (270 минут) физических упражнений и игр для разностороннего развития двигательного аппарата. За месяц это составило 24 часа, за 6 месяцев – 144 часа, за год 288 учебных часов дополнительных занятий футболом и 22 часа на участие в различных футбольных соревнованиях. Футболисты экспериментальной группы (15 детей) занимались по разработанной нами комплексной методике обучения технико-тактическим действиям. Юные футболисты контрольной группы (15 человек) тренировались по рекомендациям учебной программы по футболу (2006 г.). Дети, не занимающиеся спортом (30 человек), посещали уроки физической культуры в школе.</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 Тестирование осуществлялось пять раз: исходно при отборе в спортивные школы весной 2006 года, а затем с интервалом в полгода еще четыре раза.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Полугодовой шаг измерения указанных показателей основан на рекомендациях [7], [8]. Данный интервал измерения был обусловлен необходимостью объективного научного подхода к анализу влияния физических упражнений на показатели физического развития детей. Вторым фактором выбора полугодового шага тестирования были указания на то, что «… более информативным маркером сенситивного периода (одним из которых у детей является возраст 9–12 лет) оказывается не столько темп возрастных изменений, сколько степень сдвигов под влиянием целенаправленных стимулирующих внешних воздействий, например, упражнений или игр» [7].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Физическое развитие изучалось по общепринятым методикам и включало в себя измерения МТ, ДТ и жизненной ёмкости лёгких (ЖЕЛ). Масса тела измерялась с помощью напольных рычажных весов с точностью до 50 г (0,05 кг), длина тела – деревянным ростомером с точностью до 0,5 см. Оценка ЖЕЛ – водяным спирометром с точностью до 50 мл (0,05 л). </w:t>
      </w:r>
      <w:r>
        <w:rPr>
          <w:rFonts w:ascii="Times New Roman" w:hAnsi="Times New Roman" w:cs="Times New Roman"/>
          <w:sz w:val="28"/>
          <w:szCs w:val="28"/>
        </w:rPr>
        <w:t xml:space="preserve">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Изучалось влияние занятий футболом на изменение ростовых процессов юных футболистов 8–10 лет, обучающихся в группах начальной подготовки, а также детей, не занимающихся спортом и посещающих уроки физической культуры в соответствии со школьной учебной программой. </w:t>
      </w:r>
      <w:r>
        <w:rPr>
          <w:rFonts w:ascii="Times New Roman" w:hAnsi="Times New Roman" w:cs="Times New Roman"/>
          <w:sz w:val="28"/>
          <w:szCs w:val="28"/>
        </w:rPr>
        <w:t xml:space="preserve">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Уровень физической подготовленности детей определялся при помощи контрольных упражнений, указанных в учебной программе по футболу [9].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Тестирование проводилось после выполнения стандартной разминки и включало следующие упражнения: </w:t>
      </w:r>
    </w:p>
    <w:p w:rsidR="00B70C11" w:rsidRDefault="00B70C11" w:rsidP="00B70C11">
      <w:pPr>
        <w:rPr>
          <w:rFonts w:ascii="Times New Roman" w:hAnsi="Times New Roman" w:cs="Times New Roman"/>
          <w:sz w:val="28"/>
          <w:szCs w:val="28"/>
        </w:rPr>
      </w:pPr>
      <w:r w:rsidRPr="00B70C11">
        <w:rPr>
          <w:rFonts w:ascii="Times New Roman" w:hAnsi="Times New Roman" w:cs="Times New Roman"/>
          <w:sz w:val="28"/>
          <w:szCs w:val="28"/>
        </w:rPr>
        <w:lastRenderedPageBreak/>
        <w:t xml:space="preserve">1. Прыжок в длину с места (см). </w:t>
      </w:r>
    </w:p>
    <w:p w:rsidR="00B70C11" w:rsidRDefault="00B70C11" w:rsidP="00B70C11">
      <w:pPr>
        <w:rPr>
          <w:rFonts w:ascii="Times New Roman" w:hAnsi="Times New Roman" w:cs="Times New Roman"/>
          <w:sz w:val="28"/>
          <w:szCs w:val="28"/>
        </w:rPr>
      </w:pPr>
      <w:r w:rsidRPr="00B70C11">
        <w:rPr>
          <w:rFonts w:ascii="Times New Roman" w:hAnsi="Times New Roman" w:cs="Times New Roman"/>
          <w:sz w:val="28"/>
          <w:szCs w:val="28"/>
        </w:rPr>
        <w:t>2. Бег с высокого старта 30 м (с).</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 Оценку состояния дыхательной системы и антигипоксической устойчивости организма младших школьников проводили по результатам функциональных проб (Штанге, </w:t>
      </w:r>
      <w:proofErr w:type="spellStart"/>
      <w:r w:rsidRPr="00B70C11">
        <w:rPr>
          <w:rFonts w:ascii="Times New Roman" w:hAnsi="Times New Roman" w:cs="Times New Roman"/>
          <w:sz w:val="28"/>
          <w:szCs w:val="28"/>
        </w:rPr>
        <w:t>Генчи</w:t>
      </w:r>
      <w:proofErr w:type="spellEnd"/>
      <w:r w:rsidRPr="00B70C11">
        <w:rPr>
          <w:rFonts w:ascii="Times New Roman" w:hAnsi="Times New Roman" w:cs="Times New Roman"/>
          <w:sz w:val="28"/>
          <w:szCs w:val="28"/>
        </w:rPr>
        <w:t xml:space="preserve">). </w:t>
      </w:r>
    </w:p>
    <w:p w:rsidR="00B70C11" w:rsidRDefault="00B70C11" w:rsidP="00B70C11">
      <w:pPr>
        <w:rPr>
          <w:rFonts w:ascii="Times New Roman" w:hAnsi="Times New Roman" w:cs="Times New Roman"/>
          <w:sz w:val="28"/>
          <w:szCs w:val="28"/>
        </w:rPr>
      </w:pPr>
      <w:r w:rsidRPr="00B70C11">
        <w:rPr>
          <w:rFonts w:ascii="Times New Roman" w:hAnsi="Times New Roman" w:cs="Times New Roman"/>
          <w:i/>
          <w:sz w:val="28"/>
          <w:szCs w:val="28"/>
        </w:rPr>
        <w:t>Проба Штанге</w:t>
      </w:r>
      <w:r w:rsidRPr="00B70C11">
        <w:rPr>
          <w:rFonts w:ascii="Times New Roman" w:hAnsi="Times New Roman" w:cs="Times New Roman"/>
          <w:sz w:val="28"/>
          <w:szCs w:val="28"/>
        </w:rPr>
        <w:t xml:space="preserve"> – задержка дыхания на вдохе.</w:t>
      </w:r>
    </w:p>
    <w:p w:rsidR="00B70C11" w:rsidRDefault="00B70C11" w:rsidP="00B70C11">
      <w:pPr>
        <w:rPr>
          <w:rFonts w:ascii="Times New Roman" w:hAnsi="Times New Roman" w:cs="Times New Roman"/>
          <w:sz w:val="28"/>
          <w:szCs w:val="28"/>
        </w:rPr>
      </w:pPr>
      <w:r w:rsidRPr="00B70C11">
        <w:rPr>
          <w:rFonts w:ascii="Times New Roman" w:hAnsi="Times New Roman" w:cs="Times New Roman"/>
          <w:i/>
          <w:sz w:val="28"/>
          <w:szCs w:val="28"/>
        </w:rPr>
        <w:t xml:space="preserve">Проба </w:t>
      </w:r>
      <w:proofErr w:type="spellStart"/>
      <w:r w:rsidRPr="00B70C11">
        <w:rPr>
          <w:rFonts w:ascii="Times New Roman" w:hAnsi="Times New Roman" w:cs="Times New Roman"/>
          <w:i/>
          <w:sz w:val="28"/>
          <w:szCs w:val="28"/>
        </w:rPr>
        <w:t>Генчи</w:t>
      </w:r>
      <w:proofErr w:type="spellEnd"/>
      <w:r w:rsidRPr="00B70C11">
        <w:rPr>
          <w:rFonts w:ascii="Times New Roman" w:hAnsi="Times New Roman" w:cs="Times New Roman"/>
          <w:sz w:val="28"/>
          <w:szCs w:val="28"/>
        </w:rPr>
        <w:t xml:space="preserve"> – задержка дыхания на выдохе.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Математическая обработка полученных данных проведена с использованием пакета прикладных компьютерных программ SPSS (версия 14) с использованием критериев Стьюдента и Пирсона. Расчет темпов прироста показателей проводился как в абсолютных значениях, так и в процентах с использованием двух формул: 1) Т = П2 – П1 (для абсолютных значений); 2) Т (%) = 100 · (П2 – П1)/0,5 · (П2 + П1), где Т – темпы прироста, П1 и П2 – исходные и конечные показатели з</w:t>
      </w:r>
      <w:r>
        <w:rPr>
          <w:rFonts w:ascii="Times New Roman" w:hAnsi="Times New Roman" w:cs="Times New Roman"/>
          <w:sz w:val="28"/>
          <w:szCs w:val="28"/>
        </w:rPr>
        <w:t xml:space="preserve">а выбранный период времени [7]. </w:t>
      </w:r>
    </w:p>
    <w:p w:rsidR="00B70C11" w:rsidRDefault="00B70C11" w:rsidP="00B70C11">
      <w:pPr>
        <w:rPr>
          <w:rFonts w:ascii="Times New Roman" w:hAnsi="Times New Roman" w:cs="Times New Roman"/>
          <w:sz w:val="28"/>
          <w:szCs w:val="28"/>
        </w:rPr>
      </w:pPr>
    </w:p>
    <w:p w:rsidR="00B70C11" w:rsidRPr="00B70C11" w:rsidRDefault="00B70C11" w:rsidP="00B70C11">
      <w:pPr>
        <w:rPr>
          <w:rFonts w:ascii="Times New Roman" w:hAnsi="Times New Roman" w:cs="Times New Roman"/>
          <w:b/>
          <w:sz w:val="28"/>
          <w:szCs w:val="28"/>
        </w:rPr>
      </w:pPr>
      <w:r>
        <w:rPr>
          <w:rFonts w:ascii="Times New Roman" w:hAnsi="Times New Roman" w:cs="Times New Roman"/>
          <w:b/>
          <w:sz w:val="28"/>
          <w:szCs w:val="28"/>
        </w:rPr>
        <w:t xml:space="preserve">        </w:t>
      </w:r>
      <w:r w:rsidRPr="00B70C11">
        <w:rPr>
          <w:rFonts w:ascii="Times New Roman" w:hAnsi="Times New Roman" w:cs="Times New Roman"/>
          <w:b/>
          <w:sz w:val="28"/>
          <w:szCs w:val="28"/>
        </w:rPr>
        <w:t xml:space="preserve">Результаты исследования и их обсуждение </w:t>
      </w:r>
    </w:p>
    <w:p w:rsidR="00B70C11"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Результаты 2-годичного </w:t>
      </w:r>
      <w:proofErr w:type="spellStart"/>
      <w:r w:rsidRPr="00B70C11">
        <w:rPr>
          <w:rFonts w:ascii="Times New Roman" w:hAnsi="Times New Roman" w:cs="Times New Roman"/>
          <w:sz w:val="28"/>
          <w:szCs w:val="28"/>
        </w:rPr>
        <w:t>лангитюдного</w:t>
      </w:r>
      <w:proofErr w:type="spellEnd"/>
      <w:r w:rsidRPr="00B70C11">
        <w:rPr>
          <w:rFonts w:ascii="Times New Roman" w:hAnsi="Times New Roman" w:cs="Times New Roman"/>
          <w:sz w:val="28"/>
          <w:szCs w:val="28"/>
        </w:rPr>
        <w:t xml:space="preserve"> исследования показывают достоверное увеличение показателей физического развития детей младшего школьного возраста (таблицы 1 и 2). Темпы прироста антропометрических показателей в абсолютном выражени</w:t>
      </w:r>
      <w:r>
        <w:rPr>
          <w:rFonts w:ascii="Times New Roman" w:hAnsi="Times New Roman" w:cs="Times New Roman"/>
          <w:sz w:val="28"/>
          <w:szCs w:val="28"/>
        </w:rPr>
        <w:t xml:space="preserve">и составили </w:t>
      </w:r>
      <w:r w:rsidRPr="00B70C11">
        <w:rPr>
          <w:rFonts w:ascii="Times New Roman" w:hAnsi="Times New Roman" w:cs="Times New Roman"/>
          <w:sz w:val="28"/>
          <w:szCs w:val="28"/>
        </w:rPr>
        <w:t xml:space="preserve">у нетренированных детей в 9 и 10 лет соответственно 4,1 и 4,2 кг/год для МТ, 4,7 и 4,3 см/год для длины тела, 0,16 и 0,26 л/год для ЖЕЛ. Дополнительные занятия детей физическими упражнениями в секциях по футболу вызвали существенное ускорение темпов прироста показателей физического развития (таблица 1). Так, темп прироста антропометрических показателей юных футболистов за 1-й и 2-й годы тренировок (9 и 10 лет) составил соответственно 4,7 и 5,3 кг/год для МТ, 6,8 и 5,5 см/год для ДТ и 0,37 и 0,44 л/год для ЖЕЛ (таблица 1). Темп прироста ДТ и ЖЕЛ за оба года, а также МТ на 2-м году тренировок у юных футболистов был достоверно выше, чем у нетренированных мальчиков. Аналогичные результаты были получены и в других исследованиях, показавших, что увеличение двигательной активности детей (как мальчиков, так и девочек) 8–10 лет сопровождается большим приростом антропометрических показателей по сравнению с менее тренированными их сверстниками [3]. Изменение показателей функциональных проб под влиянием дополнительных физических нагрузок у юных футболистов начинается раньше, чем прирост антропометрических показателей (таблица 1). Каждое занятие сопровождается выполнением определенного объема игровой и тренировочной нагрузки. Это стимулирует развитие </w:t>
      </w:r>
      <w:r w:rsidRPr="00B70C11">
        <w:rPr>
          <w:rFonts w:ascii="Times New Roman" w:hAnsi="Times New Roman" w:cs="Times New Roman"/>
          <w:sz w:val="28"/>
          <w:szCs w:val="28"/>
        </w:rPr>
        <w:lastRenderedPageBreak/>
        <w:t xml:space="preserve">соответствующих механизмов адаптации (к физическим нагрузкам и перекрёстной адаптации к гипоксическим состояниям) и сопровождается постепенной перестройкой системы внешнего дыхания, а также повышением резервов газотранспортной функции крови и всего организма в целом. Об этом свидетельствуют результаты проведённых функциональных проб (Штанге и </w:t>
      </w:r>
      <w:proofErr w:type="spellStart"/>
      <w:r w:rsidRPr="00B70C11">
        <w:rPr>
          <w:rFonts w:ascii="Times New Roman" w:hAnsi="Times New Roman" w:cs="Times New Roman"/>
          <w:sz w:val="28"/>
          <w:szCs w:val="28"/>
        </w:rPr>
        <w:t>Генча</w:t>
      </w:r>
      <w:proofErr w:type="spellEnd"/>
      <w:r w:rsidRPr="00B70C11">
        <w:rPr>
          <w:rFonts w:ascii="Times New Roman" w:hAnsi="Times New Roman" w:cs="Times New Roman"/>
          <w:sz w:val="28"/>
          <w:szCs w:val="28"/>
        </w:rPr>
        <w:t xml:space="preserve">), комплексно отражающих антигипоксическую устойчивость организма и состояние адаптации организма к гипоксии (таблица 1). </w:t>
      </w:r>
    </w:p>
    <w:p w:rsidR="00B70C11" w:rsidRPr="00422251" w:rsidRDefault="00B70C11" w:rsidP="00B70C11">
      <w:pPr>
        <w:rPr>
          <w:rFonts w:ascii="Times New Roman" w:hAnsi="Times New Roman" w:cs="Times New Roman"/>
          <w:sz w:val="28"/>
          <w:szCs w:val="28"/>
        </w:rPr>
      </w:pPr>
      <w:r w:rsidRPr="00B70C11">
        <w:rPr>
          <w:rFonts w:ascii="Times New Roman" w:hAnsi="Times New Roman" w:cs="Times New Roman"/>
          <w:sz w:val="28"/>
          <w:szCs w:val="28"/>
        </w:rPr>
        <w:t>Таблица 1 – Динамика морфофункциональных показателей у юных футболистов младшего школьного возраста (2–4 классов) и мальчиков 8–10 лет (2–4 к</w:t>
      </w:r>
      <w:r w:rsidR="00422251">
        <w:rPr>
          <w:rFonts w:ascii="Times New Roman" w:hAnsi="Times New Roman" w:cs="Times New Roman"/>
          <w:sz w:val="28"/>
          <w:szCs w:val="28"/>
        </w:rPr>
        <w:t>лассы), не занимающихся спортом.</w:t>
      </w:r>
    </w:p>
    <w:tbl>
      <w:tblPr>
        <w:tblStyle w:val="a3"/>
        <w:tblW w:w="9776" w:type="dxa"/>
        <w:tblInd w:w="-643" w:type="dxa"/>
        <w:tblLook w:val="04A0" w:firstRow="1" w:lastRow="0" w:firstColumn="1" w:lastColumn="0" w:noHBand="0" w:noVBand="1"/>
      </w:tblPr>
      <w:tblGrid>
        <w:gridCol w:w="1875"/>
        <w:gridCol w:w="2005"/>
        <w:gridCol w:w="1290"/>
        <w:gridCol w:w="1161"/>
        <w:gridCol w:w="1177"/>
        <w:gridCol w:w="1134"/>
        <w:gridCol w:w="1134"/>
      </w:tblGrid>
      <w:tr w:rsidR="003F3EEA" w:rsidTr="00C07416">
        <w:trPr>
          <w:trHeight w:val="122"/>
        </w:trPr>
        <w:tc>
          <w:tcPr>
            <w:tcW w:w="1875" w:type="dxa"/>
            <w:vMerge w:val="restart"/>
          </w:tcPr>
          <w:p w:rsidR="003F3EEA" w:rsidRPr="003F3EEA" w:rsidRDefault="003F3EEA" w:rsidP="00B70C11">
            <w:pPr>
              <w:rPr>
                <w:rFonts w:ascii="Times New Roman" w:hAnsi="Times New Roman" w:cs="Times New Roman"/>
                <w:b/>
                <w:sz w:val="28"/>
                <w:szCs w:val="28"/>
              </w:rPr>
            </w:pPr>
            <w:r w:rsidRPr="003F3EEA">
              <w:rPr>
                <w:rFonts w:ascii="Times New Roman" w:hAnsi="Times New Roman" w:cs="Times New Roman"/>
                <w:b/>
                <w:sz w:val="28"/>
                <w:szCs w:val="28"/>
              </w:rPr>
              <w:t>Показатели</w:t>
            </w:r>
          </w:p>
        </w:tc>
        <w:tc>
          <w:tcPr>
            <w:tcW w:w="2005" w:type="dxa"/>
            <w:vMerge w:val="restart"/>
          </w:tcPr>
          <w:p w:rsidR="003F3EEA" w:rsidRPr="003F3EEA" w:rsidRDefault="003F3EEA" w:rsidP="00B70C11">
            <w:pPr>
              <w:rPr>
                <w:rFonts w:ascii="Times New Roman" w:hAnsi="Times New Roman" w:cs="Times New Roman"/>
                <w:b/>
                <w:sz w:val="28"/>
                <w:szCs w:val="28"/>
              </w:rPr>
            </w:pPr>
            <w:r w:rsidRPr="003F3EEA">
              <w:rPr>
                <w:rFonts w:ascii="Times New Roman" w:hAnsi="Times New Roman" w:cs="Times New Roman"/>
                <w:b/>
                <w:sz w:val="28"/>
                <w:szCs w:val="28"/>
              </w:rPr>
              <w:t xml:space="preserve">Группа </w:t>
            </w:r>
          </w:p>
        </w:tc>
        <w:tc>
          <w:tcPr>
            <w:tcW w:w="5896" w:type="dxa"/>
            <w:gridSpan w:val="5"/>
          </w:tcPr>
          <w:p w:rsidR="003F3EEA" w:rsidRPr="003F3EEA" w:rsidRDefault="003F3EEA" w:rsidP="003F3EEA">
            <w:pPr>
              <w:jc w:val="center"/>
              <w:rPr>
                <w:rFonts w:ascii="Times New Roman" w:hAnsi="Times New Roman" w:cs="Times New Roman"/>
                <w:b/>
                <w:sz w:val="28"/>
                <w:szCs w:val="28"/>
              </w:rPr>
            </w:pPr>
            <w:r w:rsidRPr="003F3EEA">
              <w:rPr>
                <w:rFonts w:ascii="Times New Roman" w:hAnsi="Times New Roman" w:cs="Times New Roman"/>
                <w:b/>
                <w:sz w:val="28"/>
                <w:szCs w:val="28"/>
              </w:rPr>
              <w:t>Тестирование</w:t>
            </w:r>
          </w:p>
        </w:tc>
      </w:tr>
      <w:tr w:rsidR="00C07416" w:rsidTr="00C07416">
        <w:trPr>
          <w:trHeight w:val="190"/>
        </w:trPr>
        <w:tc>
          <w:tcPr>
            <w:tcW w:w="1875" w:type="dxa"/>
            <w:vMerge/>
          </w:tcPr>
          <w:p w:rsidR="003F3EEA" w:rsidRDefault="003F3EEA" w:rsidP="00B70C11">
            <w:pPr>
              <w:rPr>
                <w:rFonts w:ascii="Times New Roman" w:hAnsi="Times New Roman" w:cs="Times New Roman"/>
                <w:sz w:val="28"/>
                <w:szCs w:val="28"/>
              </w:rPr>
            </w:pPr>
          </w:p>
        </w:tc>
        <w:tc>
          <w:tcPr>
            <w:tcW w:w="2005" w:type="dxa"/>
            <w:vMerge/>
          </w:tcPr>
          <w:p w:rsidR="003F3EEA" w:rsidRDefault="003F3EEA" w:rsidP="00B70C11">
            <w:pPr>
              <w:rPr>
                <w:rFonts w:ascii="Times New Roman" w:hAnsi="Times New Roman" w:cs="Times New Roman"/>
                <w:sz w:val="28"/>
                <w:szCs w:val="28"/>
              </w:rPr>
            </w:pPr>
          </w:p>
        </w:tc>
        <w:tc>
          <w:tcPr>
            <w:tcW w:w="1290" w:type="dxa"/>
          </w:tcPr>
          <w:p w:rsidR="003F3EEA" w:rsidRPr="003F3EEA" w:rsidRDefault="003F3EEA" w:rsidP="00B70C11">
            <w:pPr>
              <w:rPr>
                <w:rFonts w:ascii="Times New Roman" w:hAnsi="Times New Roman" w:cs="Times New Roman"/>
                <w:i/>
                <w:sz w:val="28"/>
                <w:szCs w:val="28"/>
              </w:rPr>
            </w:pPr>
            <w:r w:rsidRPr="003F3EEA">
              <w:rPr>
                <w:rFonts w:ascii="Times New Roman" w:hAnsi="Times New Roman" w:cs="Times New Roman"/>
                <w:i/>
                <w:sz w:val="28"/>
                <w:szCs w:val="28"/>
              </w:rPr>
              <w:t>исходное</w:t>
            </w:r>
          </w:p>
        </w:tc>
        <w:tc>
          <w:tcPr>
            <w:tcW w:w="1161" w:type="dxa"/>
          </w:tcPr>
          <w:p w:rsidR="003F3EEA" w:rsidRPr="003F3EEA" w:rsidRDefault="003F3EEA" w:rsidP="00B70C11">
            <w:pPr>
              <w:rPr>
                <w:rFonts w:ascii="Times New Roman" w:hAnsi="Times New Roman" w:cs="Times New Roman"/>
                <w:i/>
                <w:sz w:val="28"/>
                <w:szCs w:val="28"/>
              </w:rPr>
            </w:pPr>
            <w:r w:rsidRPr="003F3EEA">
              <w:rPr>
                <w:rFonts w:ascii="Times New Roman" w:hAnsi="Times New Roman" w:cs="Times New Roman"/>
                <w:i/>
                <w:sz w:val="28"/>
                <w:szCs w:val="28"/>
              </w:rPr>
              <w:t>Тест1</w:t>
            </w:r>
          </w:p>
        </w:tc>
        <w:tc>
          <w:tcPr>
            <w:tcW w:w="1177" w:type="dxa"/>
          </w:tcPr>
          <w:p w:rsidR="003F3EEA" w:rsidRPr="003F3EEA" w:rsidRDefault="003F3EEA" w:rsidP="00B70C11">
            <w:pPr>
              <w:rPr>
                <w:rFonts w:ascii="Times New Roman" w:hAnsi="Times New Roman" w:cs="Times New Roman"/>
                <w:i/>
                <w:sz w:val="28"/>
                <w:szCs w:val="28"/>
              </w:rPr>
            </w:pPr>
            <w:r w:rsidRPr="003F3EEA">
              <w:rPr>
                <w:rFonts w:ascii="Times New Roman" w:hAnsi="Times New Roman" w:cs="Times New Roman"/>
                <w:i/>
                <w:sz w:val="28"/>
                <w:szCs w:val="28"/>
              </w:rPr>
              <w:t>Тест2</w:t>
            </w:r>
          </w:p>
        </w:tc>
        <w:tc>
          <w:tcPr>
            <w:tcW w:w="1134" w:type="dxa"/>
          </w:tcPr>
          <w:p w:rsidR="003F3EEA" w:rsidRPr="003F3EEA" w:rsidRDefault="003F3EEA" w:rsidP="00B70C11">
            <w:pPr>
              <w:rPr>
                <w:rFonts w:ascii="Times New Roman" w:hAnsi="Times New Roman" w:cs="Times New Roman"/>
                <w:i/>
                <w:sz w:val="28"/>
                <w:szCs w:val="28"/>
              </w:rPr>
            </w:pPr>
            <w:r w:rsidRPr="003F3EEA">
              <w:rPr>
                <w:rFonts w:ascii="Times New Roman" w:hAnsi="Times New Roman" w:cs="Times New Roman"/>
                <w:i/>
                <w:sz w:val="28"/>
                <w:szCs w:val="28"/>
              </w:rPr>
              <w:t>Тест3</w:t>
            </w:r>
          </w:p>
        </w:tc>
        <w:tc>
          <w:tcPr>
            <w:tcW w:w="1134" w:type="dxa"/>
          </w:tcPr>
          <w:p w:rsidR="003F3EEA" w:rsidRPr="003F3EEA" w:rsidRDefault="003F3EEA" w:rsidP="00B70C11">
            <w:pPr>
              <w:rPr>
                <w:rFonts w:ascii="Times New Roman" w:hAnsi="Times New Roman" w:cs="Times New Roman"/>
                <w:i/>
                <w:sz w:val="28"/>
                <w:szCs w:val="28"/>
              </w:rPr>
            </w:pPr>
            <w:r w:rsidRPr="003F3EEA">
              <w:rPr>
                <w:rFonts w:ascii="Times New Roman" w:hAnsi="Times New Roman" w:cs="Times New Roman"/>
                <w:i/>
                <w:sz w:val="28"/>
                <w:szCs w:val="28"/>
              </w:rPr>
              <w:t>Тест4</w:t>
            </w:r>
          </w:p>
        </w:tc>
      </w:tr>
      <w:tr w:rsidR="00C07416" w:rsidTr="00C07416">
        <w:trPr>
          <w:trHeight w:val="136"/>
        </w:trPr>
        <w:tc>
          <w:tcPr>
            <w:tcW w:w="1875" w:type="dxa"/>
            <w:vMerge w:val="restart"/>
          </w:tcPr>
          <w:p w:rsidR="00EF2CE2" w:rsidRDefault="00EF2CE2" w:rsidP="00EF2CE2">
            <w:pPr>
              <w:rPr>
                <w:rFonts w:ascii="Times New Roman" w:hAnsi="Times New Roman" w:cs="Times New Roman"/>
                <w:sz w:val="28"/>
                <w:szCs w:val="28"/>
              </w:rPr>
            </w:pPr>
            <w:r>
              <w:rPr>
                <w:rFonts w:ascii="Times New Roman" w:hAnsi="Times New Roman" w:cs="Times New Roman"/>
                <w:sz w:val="28"/>
                <w:szCs w:val="28"/>
              </w:rPr>
              <w:t>Масса тела,</w:t>
            </w:r>
          </w:p>
          <w:p w:rsidR="00EF2CE2" w:rsidRDefault="00EF2CE2" w:rsidP="00EF2CE2">
            <w:pPr>
              <w:rPr>
                <w:rFonts w:ascii="Times New Roman" w:hAnsi="Times New Roman" w:cs="Times New Roman"/>
                <w:sz w:val="28"/>
                <w:szCs w:val="28"/>
              </w:rPr>
            </w:pPr>
            <w:r>
              <w:rPr>
                <w:rFonts w:ascii="Times New Roman" w:hAnsi="Times New Roman" w:cs="Times New Roman"/>
                <w:sz w:val="28"/>
                <w:szCs w:val="28"/>
              </w:rPr>
              <w:t>кг</w:t>
            </w:r>
          </w:p>
        </w:tc>
        <w:tc>
          <w:tcPr>
            <w:tcW w:w="2005" w:type="dxa"/>
          </w:tcPr>
          <w:p w:rsidR="00EF2CE2" w:rsidRDefault="00EF2CE2" w:rsidP="00EF2CE2">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290"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27,7 ± 1,3</w:t>
            </w:r>
          </w:p>
        </w:tc>
        <w:tc>
          <w:tcPr>
            <w:tcW w:w="1161"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29,1 ± 0,9</w:t>
            </w:r>
          </w:p>
        </w:tc>
        <w:tc>
          <w:tcPr>
            <w:tcW w:w="1177"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 xml:space="preserve">31,8 ± 0,7 </w:t>
            </w:r>
          </w:p>
        </w:tc>
        <w:tc>
          <w:tcPr>
            <w:tcW w:w="1134"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33,4 ± 0,7</w:t>
            </w:r>
          </w:p>
        </w:tc>
        <w:tc>
          <w:tcPr>
            <w:tcW w:w="1134"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 xml:space="preserve">33,4 ± 0,7 </w:t>
            </w:r>
          </w:p>
        </w:tc>
      </w:tr>
      <w:tr w:rsidR="00C07416" w:rsidTr="00C07416">
        <w:trPr>
          <w:trHeight w:val="190"/>
        </w:trPr>
        <w:tc>
          <w:tcPr>
            <w:tcW w:w="1875" w:type="dxa"/>
            <w:vMerge/>
          </w:tcPr>
          <w:p w:rsidR="00EF2CE2" w:rsidRDefault="00EF2CE2" w:rsidP="00EF2CE2">
            <w:pPr>
              <w:rPr>
                <w:rFonts w:ascii="Times New Roman" w:hAnsi="Times New Roman" w:cs="Times New Roman"/>
                <w:sz w:val="28"/>
                <w:szCs w:val="28"/>
              </w:rPr>
            </w:pPr>
          </w:p>
        </w:tc>
        <w:tc>
          <w:tcPr>
            <w:tcW w:w="2005" w:type="dxa"/>
          </w:tcPr>
          <w:p w:rsidR="00EF2CE2" w:rsidRDefault="00EF2CE2" w:rsidP="00EF2CE2">
            <w:pPr>
              <w:rPr>
                <w:rFonts w:ascii="Times New Roman" w:hAnsi="Times New Roman" w:cs="Times New Roman"/>
                <w:sz w:val="28"/>
                <w:szCs w:val="28"/>
              </w:rPr>
            </w:pPr>
            <w:r>
              <w:rPr>
                <w:rFonts w:ascii="Times New Roman" w:hAnsi="Times New Roman" w:cs="Times New Roman"/>
                <w:sz w:val="28"/>
                <w:szCs w:val="28"/>
              </w:rPr>
              <w:t>Футболисты</w:t>
            </w:r>
          </w:p>
        </w:tc>
        <w:tc>
          <w:tcPr>
            <w:tcW w:w="1290"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 xml:space="preserve">25,1 ± 0,7 </w:t>
            </w:r>
          </w:p>
        </w:tc>
        <w:tc>
          <w:tcPr>
            <w:tcW w:w="1161"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26,8 ± 0,7</w:t>
            </w:r>
          </w:p>
        </w:tc>
        <w:tc>
          <w:tcPr>
            <w:tcW w:w="1177"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 xml:space="preserve">29,8 ± 0,8 </w:t>
            </w:r>
          </w:p>
        </w:tc>
        <w:tc>
          <w:tcPr>
            <w:tcW w:w="1134"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32,5 ± 0,8</w:t>
            </w:r>
          </w:p>
        </w:tc>
        <w:tc>
          <w:tcPr>
            <w:tcW w:w="1134" w:type="dxa"/>
          </w:tcPr>
          <w:p w:rsidR="00EF2CE2" w:rsidRPr="00C07416" w:rsidRDefault="00EF2CE2" w:rsidP="00EF2CE2">
            <w:pPr>
              <w:rPr>
                <w:rFonts w:ascii="Times New Roman" w:hAnsi="Times New Roman" w:cs="Times New Roman"/>
                <w:sz w:val="20"/>
                <w:szCs w:val="20"/>
              </w:rPr>
            </w:pPr>
            <w:r w:rsidRPr="00C07416">
              <w:rPr>
                <w:rFonts w:ascii="Times New Roman" w:hAnsi="Times New Roman" w:cs="Times New Roman"/>
                <w:sz w:val="20"/>
                <w:szCs w:val="20"/>
              </w:rPr>
              <w:t>35,1 ± 0,8</w:t>
            </w:r>
          </w:p>
        </w:tc>
      </w:tr>
      <w:tr w:rsidR="00C07416" w:rsidTr="00C07416">
        <w:trPr>
          <w:trHeight w:val="136"/>
        </w:trPr>
        <w:tc>
          <w:tcPr>
            <w:tcW w:w="1875" w:type="dxa"/>
            <w:vMerge w:val="restart"/>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Длина тела</w:t>
            </w:r>
            <w:r>
              <w:rPr>
                <w:rFonts w:ascii="Times New Roman" w:hAnsi="Times New Roman" w:cs="Times New Roman"/>
                <w:sz w:val="28"/>
                <w:szCs w:val="28"/>
              </w:rPr>
              <w:t>,</w:t>
            </w:r>
          </w:p>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Рост см</w:t>
            </w:r>
          </w:p>
        </w:tc>
        <w:tc>
          <w:tcPr>
            <w:tcW w:w="2005" w:type="dxa"/>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290"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131,9 ± 0,6</w:t>
            </w:r>
          </w:p>
        </w:tc>
        <w:tc>
          <w:tcPr>
            <w:tcW w:w="1161"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 xml:space="preserve">134,0 ± 0,6 </w:t>
            </w:r>
          </w:p>
        </w:tc>
        <w:tc>
          <w:tcPr>
            <w:tcW w:w="1177"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136,6 ± 0,6</w:t>
            </w:r>
          </w:p>
        </w:tc>
        <w:tc>
          <w:tcPr>
            <w:tcW w:w="1134"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138,4 ± 0,7</w:t>
            </w:r>
          </w:p>
        </w:tc>
        <w:tc>
          <w:tcPr>
            <w:tcW w:w="1134"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140,9 ± 0,6</w:t>
            </w:r>
          </w:p>
        </w:tc>
      </w:tr>
      <w:tr w:rsidR="00C07416" w:rsidTr="00C07416">
        <w:trPr>
          <w:trHeight w:val="190"/>
        </w:trPr>
        <w:tc>
          <w:tcPr>
            <w:tcW w:w="1875" w:type="dxa"/>
            <w:vMerge/>
          </w:tcPr>
          <w:p w:rsidR="003F3EEA" w:rsidRDefault="003F3EEA" w:rsidP="003F3EEA">
            <w:pPr>
              <w:rPr>
                <w:rFonts w:ascii="Times New Roman" w:hAnsi="Times New Roman" w:cs="Times New Roman"/>
                <w:sz w:val="28"/>
                <w:szCs w:val="28"/>
              </w:rPr>
            </w:pPr>
          </w:p>
        </w:tc>
        <w:tc>
          <w:tcPr>
            <w:tcW w:w="2005" w:type="dxa"/>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Футболисты</w:t>
            </w:r>
          </w:p>
        </w:tc>
        <w:tc>
          <w:tcPr>
            <w:tcW w:w="1290"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129,7 ± 1,0</w:t>
            </w:r>
          </w:p>
        </w:tc>
        <w:tc>
          <w:tcPr>
            <w:tcW w:w="1161"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131,6 ± 1,0</w:t>
            </w:r>
          </w:p>
        </w:tc>
        <w:tc>
          <w:tcPr>
            <w:tcW w:w="1177"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136,5 ± 1,0</w:t>
            </w:r>
          </w:p>
        </w:tc>
        <w:tc>
          <w:tcPr>
            <w:tcW w:w="1134"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139,3 ± 1,0</w:t>
            </w:r>
          </w:p>
        </w:tc>
        <w:tc>
          <w:tcPr>
            <w:tcW w:w="1134" w:type="dxa"/>
          </w:tcPr>
          <w:p w:rsidR="003F3EEA" w:rsidRPr="00C07416" w:rsidRDefault="00EF2CE2" w:rsidP="003F3EEA">
            <w:pPr>
              <w:rPr>
                <w:rFonts w:ascii="Times New Roman" w:hAnsi="Times New Roman" w:cs="Times New Roman"/>
                <w:sz w:val="20"/>
                <w:szCs w:val="20"/>
              </w:rPr>
            </w:pPr>
            <w:r w:rsidRPr="00C07416">
              <w:rPr>
                <w:rFonts w:ascii="Times New Roman" w:hAnsi="Times New Roman" w:cs="Times New Roman"/>
                <w:sz w:val="20"/>
                <w:szCs w:val="20"/>
              </w:rPr>
              <w:t>142,3 ± 1,0</w:t>
            </w:r>
          </w:p>
        </w:tc>
      </w:tr>
      <w:tr w:rsidR="00C07416" w:rsidTr="00C07416">
        <w:trPr>
          <w:trHeight w:val="95"/>
        </w:trPr>
        <w:tc>
          <w:tcPr>
            <w:tcW w:w="1875" w:type="dxa"/>
            <w:vMerge w:val="restart"/>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Жизненная ёмкость легких, л</w:t>
            </w:r>
          </w:p>
        </w:tc>
        <w:tc>
          <w:tcPr>
            <w:tcW w:w="2005" w:type="dxa"/>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290"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129,7 ± 1,0</w:t>
            </w:r>
          </w:p>
        </w:tc>
        <w:tc>
          <w:tcPr>
            <w:tcW w:w="1161"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1,57 ± 0,03</w:t>
            </w:r>
          </w:p>
        </w:tc>
        <w:tc>
          <w:tcPr>
            <w:tcW w:w="1177"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1,67 ± 0,02</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1,75 ± 0,02</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 xml:space="preserve">1,93 ± 0,02 </w:t>
            </w:r>
          </w:p>
        </w:tc>
      </w:tr>
      <w:tr w:rsidR="00C07416" w:rsidTr="00C07416">
        <w:trPr>
          <w:trHeight w:val="231"/>
        </w:trPr>
        <w:tc>
          <w:tcPr>
            <w:tcW w:w="1875" w:type="dxa"/>
            <w:vMerge/>
          </w:tcPr>
          <w:p w:rsidR="003F3EEA" w:rsidRDefault="003F3EEA" w:rsidP="003F3EEA">
            <w:pPr>
              <w:rPr>
                <w:rFonts w:ascii="Times New Roman" w:hAnsi="Times New Roman" w:cs="Times New Roman"/>
                <w:sz w:val="28"/>
                <w:szCs w:val="28"/>
              </w:rPr>
            </w:pPr>
          </w:p>
        </w:tc>
        <w:tc>
          <w:tcPr>
            <w:tcW w:w="2005" w:type="dxa"/>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Футболисты</w:t>
            </w:r>
          </w:p>
        </w:tc>
        <w:tc>
          <w:tcPr>
            <w:tcW w:w="1290"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1,56 ± 0,03</w:t>
            </w:r>
          </w:p>
        </w:tc>
        <w:tc>
          <w:tcPr>
            <w:tcW w:w="1161"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1,62 ± 0,04</w:t>
            </w:r>
          </w:p>
        </w:tc>
        <w:tc>
          <w:tcPr>
            <w:tcW w:w="1177"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1,93 ± 0,05*</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2,16 ± 0,06*</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2,37 ± 0,06*</w:t>
            </w:r>
          </w:p>
        </w:tc>
      </w:tr>
      <w:tr w:rsidR="00C07416" w:rsidTr="00C07416">
        <w:trPr>
          <w:trHeight w:val="163"/>
        </w:trPr>
        <w:tc>
          <w:tcPr>
            <w:tcW w:w="1875" w:type="dxa"/>
            <w:vMerge w:val="restart"/>
          </w:tcPr>
          <w:p w:rsidR="00C07416" w:rsidRDefault="00C07416" w:rsidP="00C07416">
            <w:pPr>
              <w:rPr>
                <w:rFonts w:ascii="Times New Roman" w:hAnsi="Times New Roman" w:cs="Times New Roman"/>
                <w:sz w:val="28"/>
                <w:szCs w:val="28"/>
              </w:rPr>
            </w:pPr>
            <w:r>
              <w:rPr>
                <w:rFonts w:ascii="Times New Roman" w:hAnsi="Times New Roman" w:cs="Times New Roman"/>
                <w:sz w:val="28"/>
                <w:szCs w:val="28"/>
              </w:rPr>
              <w:t>Дл</w:t>
            </w:r>
            <w:r>
              <w:rPr>
                <w:rFonts w:ascii="Times New Roman" w:hAnsi="Times New Roman" w:cs="Times New Roman"/>
                <w:sz w:val="28"/>
                <w:szCs w:val="28"/>
              </w:rPr>
              <w:t>ительность задержки дыхания, с</w:t>
            </w:r>
          </w:p>
        </w:tc>
        <w:tc>
          <w:tcPr>
            <w:tcW w:w="2005" w:type="dxa"/>
          </w:tcPr>
          <w:p w:rsidR="00C07416" w:rsidRDefault="00C07416" w:rsidP="00C07416">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290" w:type="dxa"/>
          </w:tcPr>
          <w:p w:rsidR="00C07416"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 xml:space="preserve">36 ± 1 </w:t>
            </w:r>
          </w:p>
        </w:tc>
        <w:tc>
          <w:tcPr>
            <w:tcW w:w="1161" w:type="dxa"/>
          </w:tcPr>
          <w:p w:rsidR="00C07416"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37 ±</w:t>
            </w:r>
            <w:r w:rsidRPr="00C07416">
              <w:rPr>
                <w:rFonts w:ascii="Times New Roman" w:hAnsi="Times New Roman" w:cs="Times New Roman"/>
                <w:sz w:val="20"/>
                <w:szCs w:val="20"/>
              </w:rPr>
              <w:t xml:space="preserve"> 1</w:t>
            </w:r>
          </w:p>
        </w:tc>
        <w:tc>
          <w:tcPr>
            <w:tcW w:w="1177" w:type="dxa"/>
          </w:tcPr>
          <w:p w:rsidR="00C07416"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1 41 ± 1</w:t>
            </w:r>
          </w:p>
        </w:tc>
        <w:tc>
          <w:tcPr>
            <w:tcW w:w="1134" w:type="dxa"/>
          </w:tcPr>
          <w:p w:rsidR="00C07416"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46 ± 1</w:t>
            </w:r>
          </w:p>
        </w:tc>
        <w:tc>
          <w:tcPr>
            <w:tcW w:w="1134" w:type="dxa"/>
          </w:tcPr>
          <w:p w:rsidR="00C07416"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49 ± 1</w:t>
            </w:r>
          </w:p>
        </w:tc>
      </w:tr>
      <w:tr w:rsidR="00C07416" w:rsidTr="00C07416">
        <w:trPr>
          <w:trHeight w:val="149"/>
        </w:trPr>
        <w:tc>
          <w:tcPr>
            <w:tcW w:w="1875" w:type="dxa"/>
            <w:vMerge/>
          </w:tcPr>
          <w:p w:rsidR="003F3EEA" w:rsidRDefault="003F3EEA" w:rsidP="003F3EEA">
            <w:pPr>
              <w:rPr>
                <w:rFonts w:ascii="Times New Roman" w:hAnsi="Times New Roman" w:cs="Times New Roman"/>
                <w:sz w:val="28"/>
                <w:szCs w:val="28"/>
              </w:rPr>
            </w:pPr>
          </w:p>
        </w:tc>
        <w:tc>
          <w:tcPr>
            <w:tcW w:w="2005" w:type="dxa"/>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Футболисты</w:t>
            </w:r>
          </w:p>
        </w:tc>
        <w:tc>
          <w:tcPr>
            <w:tcW w:w="1290" w:type="dxa"/>
          </w:tcPr>
          <w:p w:rsidR="003F3EEA"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 xml:space="preserve">37 ± 1  </w:t>
            </w:r>
          </w:p>
        </w:tc>
        <w:tc>
          <w:tcPr>
            <w:tcW w:w="1161"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42 ± 2*</w:t>
            </w:r>
          </w:p>
        </w:tc>
        <w:tc>
          <w:tcPr>
            <w:tcW w:w="1177"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53 ± 2*</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56 ± 2*</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59 ± 2*</w:t>
            </w:r>
          </w:p>
        </w:tc>
      </w:tr>
      <w:tr w:rsidR="00C07416" w:rsidTr="00C07416">
        <w:trPr>
          <w:trHeight w:val="176"/>
        </w:trPr>
        <w:tc>
          <w:tcPr>
            <w:tcW w:w="1875" w:type="dxa"/>
            <w:vMerge w:val="restart"/>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Длительность</w:t>
            </w:r>
            <w:r>
              <w:rPr>
                <w:rFonts w:ascii="Times New Roman" w:hAnsi="Times New Roman" w:cs="Times New Roman"/>
                <w:sz w:val="28"/>
                <w:szCs w:val="28"/>
              </w:rPr>
              <w:t xml:space="preserve"> задержки дыхания на выдохе, с</w:t>
            </w:r>
          </w:p>
        </w:tc>
        <w:tc>
          <w:tcPr>
            <w:tcW w:w="2005" w:type="dxa"/>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290" w:type="dxa"/>
          </w:tcPr>
          <w:p w:rsidR="003F3EEA"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 xml:space="preserve">19 ± 1 </w:t>
            </w:r>
          </w:p>
        </w:tc>
        <w:tc>
          <w:tcPr>
            <w:tcW w:w="1161"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20 ± 1</w:t>
            </w:r>
          </w:p>
        </w:tc>
        <w:tc>
          <w:tcPr>
            <w:tcW w:w="1177"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25 ± 1</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29 ± 1</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34 ± 1</w:t>
            </w:r>
          </w:p>
        </w:tc>
      </w:tr>
      <w:tr w:rsidR="00C07416" w:rsidTr="00C07416">
        <w:trPr>
          <w:trHeight w:val="136"/>
        </w:trPr>
        <w:tc>
          <w:tcPr>
            <w:tcW w:w="1875" w:type="dxa"/>
            <w:vMerge/>
          </w:tcPr>
          <w:p w:rsidR="003F3EEA" w:rsidRDefault="003F3EEA" w:rsidP="003F3EEA">
            <w:pPr>
              <w:rPr>
                <w:rFonts w:ascii="Times New Roman" w:hAnsi="Times New Roman" w:cs="Times New Roman"/>
                <w:sz w:val="28"/>
                <w:szCs w:val="28"/>
              </w:rPr>
            </w:pPr>
          </w:p>
        </w:tc>
        <w:tc>
          <w:tcPr>
            <w:tcW w:w="2005" w:type="dxa"/>
          </w:tcPr>
          <w:p w:rsidR="003F3EEA" w:rsidRDefault="003F3EEA" w:rsidP="003F3EEA">
            <w:pPr>
              <w:rPr>
                <w:rFonts w:ascii="Times New Roman" w:hAnsi="Times New Roman" w:cs="Times New Roman"/>
                <w:sz w:val="28"/>
                <w:szCs w:val="28"/>
              </w:rPr>
            </w:pPr>
            <w:r>
              <w:rPr>
                <w:rFonts w:ascii="Times New Roman" w:hAnsi="Times New Roman" w:cs="Times New Roman"/>
                <w:sz w:val="28"/>
                <w:szCs w:val="28"/>
              </w:rPr>
              <w:t>Футболисты</w:t>
            </w:r>
          </w:p>
        </w:tc>
        <w:tc>
          <w:tcPr>
            <w:tcW w:w="1290" w:type="dxa"/>
          </w:tcPr>
          <w:p w:rsidR="003F3EEA" w:rsidRPr="00C07416" w:rsidRDefault="00C07416" w:rsidP="00C07416">
            <w:pPr>
              <w:rPr>
                <w:rFonts w:ascii="Times New Roman" w:hAnsi="Times New Roman" w:cs="Times New Roman"/>
                <w:sz w:val="20"/>
                <w:szCs w:val="20"/>
              </w:rPr>
            </w:pPr>
            <w:r w:rsidRPr="00C07416">
              <w:rPr>
                <w:rFonts w:ascii="Times New Roman" w:hAnsi="Times New Roman" w:cs="Times New Roman"/>
                <w:sz w:val="20"/>
                <w:szCs w:val="20"/>
              </w:rPr>
              <w:t xml:space="preserve">20 ± 1 </w:t>
            </w:r>
            <w:r w:rsidRPr="00C07416">
              <w:rPr>
                <w:rFonts w:ascii="Times New Roman" w:hAnsi="Times New Roman" w:cs="Times New Roman"/>
                <w:sz w:val="20"/>
                <w:szCs w:val="20"/>
              </w:rPr>
              <w:t xml:space="preserve"> </w:t>
            </w:r>
          </w:p>
        </w:tc>
        <w:tc>
          <w:tcPr>
            <w:tcW w:w="1161"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32 ± 1*</w:t>
            </w:r>
          </w:p>
        </w:tc>
        <w:tc>
          <w:tcPr>
            <w:tcW w:w="1177"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44 ± 2*</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44 ± 1*</w:t>
            </w:r>
          </w:p>
        </w:tc>
        <w:tc>
          <w:tcPr>
            <w:tcW w:w="1134" w:type="dxa"/>
          </w:tcPr>
          <w:p w:rsidR="003F3EEA" w:rsidRPr="00C07416" w:rsidRDefault="00C07416" w:rsidP="003F3EEA">
            <w:pPr>
              <w:rPr>
                <w:rFonts w:ascii="Times New Roman" w:hAnsi="Times New Roman" w:cs="Times New Roman"/>
                <w:sz w:val="20"/>
                <w:szCs w:val="20"/>
              </w:rPr>
            </w:pPr>
            <w:r w:rsidRPr="00C07416">
              <w:rPr>
                <w:rFonts w:ascii="Times New Roman" w:hAnsi="Times New Roman" w:cs="Times New Roman"/>
                <w:sz w:val="20"/>
                <w:szCs w:val="20"/>
              </w:rPr>
              <w:t>46 ± 1*</w:t>
            </w:r>
          </w:p>
        </w:tc>
      </w:tr>
    </w:tbl>
    <w:p w:rsidR="00B70C11" w:rsidRDefault="003F3EEA" w:rsidP="00B70C11">
      <w:pPr>
        <w:rPr>
          <w:rFonts w:ascii="Times New Roman" w:hAnsi="Times New Roman" w:cs="Times New Roman"/>
          <w:sz w:val="28"/>
          <w:szCs w:val="28"/>
        </w:rPr>
      </w:pPr>
      <w:r w:rsidRPr="00B70C11">
        <w:rPr>
          <w:rFonts w:ascii="Times New Roman" w:hAnsi="Times New Roman" w:cs="Times New Roman"/>
          <w:i/>
          <w:sz w:val="28"/>
          <w:szCs w:val="28"/>
        </w:rPr>
        <w:t xml:space="preserve">Примечание: * – достоверные различия (р </w:t>
      </w:r>
      <w:proofErr w:type="gramStart"/>
      <w:r w:rsidRPr="00B70C11">
        <w:rPr>
          <w:rFonts w:ascii="Times New Roman" w:hAnsi="Times New Roman" w:cs="Times New Roman"/>
          <w:i/>
          <w:sz w:val="28"/>
          <w:szCs w:val="28"/>
        </w:rPr>
        <w:t>&lt; 0</w:t>
      </w:r>
      <w:proofErr w:type="gramEnd"/>
      <w:r w:rsidRPr="00B70C11">
        <w:rPr>
          <w:rFonts w:ascii="Times New Roman" w:hAnsi="Times New Roman" w:cs="Times New Roman"/>
          <w:i/>
          <w:sz w:val="28"/>
          <w:szCs w:val="28"/>
        </w:rPr>
        <w:t>,05) по отношению к величине аналогичного показателя у детей, не занимающихся спортом, на том же этапе тестирования; О – достоверные различия (р &lt; 0,05) по отношению к исходной величине показателя в своей группе.</w:t>
      </w:r>
    </w:p>
    <w:p w:rsidR="00E84DD3" w:rsidRDefault="00B70C11" w:rsidP="00B70C11">
      <w:pPr>
        <w:rPr>
          <w:rFonts w:ascii="Times New Roman" w:hAnsi="Times New Roman" w:cs="Times New Roman"/>
          <w:sz w:val="28"/>
          <w:szCs w:val="28"/>
        </w:rPr>
      </w:pPr>
      <w:r>
        <w:rPr>
          <w:rFonts w:ascii="Times New Roman" w:hAnsi="Times New Roman" w:cs="Times New Roman"/>
          <w:sz w:val="28"/>
          <w:szCs w:val="28"/>
        </w:rPr>
        <w:t xml:space="preserve">       </w:t>
      </w:r>
      <w:r w:rsidRPr="00B70C11">
        <w:rPr>
          <w:rFonts w:ascii="Times New Roman" w:hAnsi="Times New Roman" w:cs="Times New Roman"/>
          <w:sz w:val="28"/>
          <w:szCs w:val="28"/>
        </w:rPr>
        <w:t xml:space="preserve"> Так, уже после первого шестимесячного этапа тренировок длительность задержки дыхания у юных футболистов увеличилась на 13,5% (р </w:t>
      </w:r>
      <w:proofErr w:type="gramStart"/>
      <w:r w:rsidRPr="00B70C11">
        <w:rPr>
          <w:rFonts w:ascii="Times New Roman" w:hAnsi="Times New Roman" w:cs="Times New Roman"/>
          <w:sz w:val="28"/>
          <w:szCs w:val="28"/>
        </w:rPr>
        <w:t>&lt; 0</w:t>
      </w:r>
      <w:proofErr w:type="gramEnd"/>
      <w:r w:rsidRPr="00B70C11">
        <w:rPr>
          <w:rFonts w:ascii="Times New Roman" w:hAnsi="Times New Roman" w:cs="Times New Roman"/>
          <w:sz w:val="28"/>
          <w:szCs w:val="28"/>
        </w:rPr>
        <w:t xml:space="preserve">,05) на вдохе и на 60,0% (р &lt; 0,001) на выдохе как к исходной величине показателя, так и по сравнению с аналогичным показателем у мальчиков, не занимавшихся в спортивных школах (таблица 1). Длительность задержки дыхания на вдохе у юных футболистов 9-ти лет (таблица 1, тест II) соответствует показателю пробы Штанге для 11-летних нетренированных мальчиков [3], [5]. Этот же показатель у 10-летних футболистов </w:t>
      </w:r>
      <w:r w:rsidRPr="00B70C11">
        <w:rPr>
          <w:rFonts w:ascii="Times New Roman" w:hAnsi="Times New Roman" w:cs="Times New Roman"/>
          <w:sz w:val="28"/>
          <w:szCs w:val="28"/>
        </w:rPr>
        <w:lastRenderedPageBreak/>
        <w:t xml:space="preserve">соответствует данным 13-летних нетренированных подростков [3], [5], [7]. Достоверное же увеличение жизненной ёмкости легких и скорости её прироста у юных футболистов отмечается только спустя 1 год (и более) после начала занятий (таблица 1 и 2). При этом к 10 годам жизненная ёмкость лёгких у футболистов соответствует показателям для 13-летних нетренированных школьников [4], [8]. </w:t>
      </w:r>
    </w:p>
    <w:p w:rsidR="00E84DD3" w:rsidRDefault="00E84DD3"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Темп прироста длительности задержки дыхания на выдохе был у детей обеих групп существенно выше темпов прироста жизненной ёмкости лёгких. Он составлял у мальчиков, не занимавшихся футболом, 27,3% за 1 год и 56,6% за два года, то есть был в 2,7 и 2,3 раза больше, чем темп прироста у них жизненной ёмкости лёгких (таблица 2). Аналогичная, но более выраженная картина изменений была у юных футболистов. Прирост длительности задержки дыхания на выдохе у футболистов составлял 75,0% (к 9 годам) и 78,8% (к 10 годам) и был в 3,5 и 1,9 раза больше, чем прирост у них жизненной ёмкости лёгких (таблица 2). </w:t>
      </w:r>
    </w:p>
    <w:p w:rsidR="00E84DD3" w:rsidRDefault="00E84DD3"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Таблица 2 – Темп прироста морфофункциональных показателей у юных футболистов младшего школьного возраста (2–4 классов) и мальчиков 8–10 лет (2–4 классы), не занимающихся спортом</w:t>
      </w:r>
    </w:p>
    <w:tbl>
      <w:tblPr>
        <w:tblStyle w:val="a3"/>
        <w:tblW w:w="0" w:type="auto"/>
        <w:tblLook w:val="04A0" w:firstRow="1" w:lastRow="0" w:firstColumn="1" w:lastColumn="0" w:noHBand="0" w:noVBand="1"/>
      </w:tblPr>
      <w:tblGrid>
        <w:gridCol w:w="1708"/>
        <w:gridCol w:w="2005"/>
        <w:gridCol w:w="1711"/>
        <w:gridCol w:w="1116"/>
        <w:gridCol w:w="1711"/>
        <w:gridCol w:w="1094"/>
      </w:tblGrid>
      <w:tr w:rsidR="00E84DD3" w:rsidTr="00334FCD">
        <w:trPr>
          <w:trHeight w:val="134"/>
        </w:trPr>
        <w:tc>
          <w:tcPr>
            <w:tcW w:w="1590" w:type="dxa"/>
            <w:vMerge w:val="restart"/>
          </w:tcPr>
          <w:p w:rsidR="00E84DD3" w:rsidRPr="00FC2FC5" w:rsidRDefault="00E84DD3" w:rsidP="00B70C11">
            <w:pPr>
              <w:rPr>
                <w:rFonts w:ascii="Times New Roman" w:hAnsi="Times New Roman" w:cs="Times New Roman"/>
                <w:b/>
                <w:sz w:val="28"/>
                <w:szCs w:val="28"/>
              </w:rPr>
            </w:pPr>
            <w:r w:rsidRPr="00FC2FC5">
              <w:rPr>
                <w:rFonts w:ascii="Times New Roman" w:hAnsi="Times New Roman" w:cs="Times New Roman"/>
                <w:b/>
                <w:sz w:val="28"/>
                <w:szCs w:val="28"/>
              </w:rPr>
              <w:t>Показатели</w:t>
            </w:r>
          </w:p>
        </w:tc>
        <w:tc>
          <w:tcPr>
            <w:tcW w:w="2005" w:type="dxa"/>
            <w:vMerge w:val="restart"/>
          </w:tcPr>
          <w:p w:rsidR="00E84DD3" w:rsidRPr="00FC2FC5" w:rsidRDefault="00E84DD3" w:rsidP="00B70C11">
            <w:pPr>
              <w:rPr>
                <w:rFonts w:ascii="Times New Roman" w:hAnsi="Times New Roman" w:cs="Times New Roman"/>
                <w:b/>
                <w:sz w:val="28"/>
                <w:szCs w:val="28"/>
              </w:rPr>
            </w:pPr>
            <w:r w:rsidRPr="00FC2FC5">
              <w:rPr>
                <w:rFonts w:ascii="Times New Roman" w:hAnsi="Times New Roman" w:cs="Times New Roman"/>
                <w:b/>
                <w:sz w:val="28"/>
                <w:szCs w:val="28"/>
              </w:rPr>
              <w:t>Группа</w:t>
            </w:r>
          </w:p>
        </w:tc>
        <w:tc>
          <w:tcPr>
            <w:tcW w:w="5750" w:type="dxa"/>
            <w:gridSpan w:val="4"/>
          </w:tcPr>
          <w:p w:rsidR="00E84DD3" w:rsidRPr="00E84DD3" w:rsidRDefault="00E84DD3" w:rsidP="00E84DD3">
            <w:pPr>
              <w:jc w:val="center"/>
              <w:rPr>
                <w:rFonts w:ascii="Times New Roman" w:hAnsi="Times New Roman" w:cs="Times New Roman"/>
                <w:b/>
                <w:i/>
                <w:sz w:val="28"/>
                <w:szCs w:val="28"/>
              </w:rPr>
            </w:pPr>
            <w:r w:rsidRPr="00E84DD3">
              <w:rPr>
                <w:rFonts w:ascii="Times New Roman" w:hAnsi="Times New Roman" w:cs="Times New Roman"/>
                <w:b/>
                <w:sz w:val="28"/>
                <w:szCs w:val="28"/>
              </w:rPr>
              <w:t>Темп прироста показателей</w:t>
            </w:r>
          </w:p>
        </w:tc>
      </w:tr>
      <w:tr w:rsidR="00E84DD3" w:rsidTr="00334FCD">
        <w:trPr>
          <w:trHeight w:val="167"/>
        </w:trPr>
        <w:tc>
          <w:tcPr>
            <w:tcW w:w="1590" w:type="dxa"/>
            <w:vMerge/>
          </w:tcPr>
          <w:p w:rsidR="00E84DD3" w:rsidRDefault="00E84DD3" w:rsidP="00B70C11">
            <w:pPr>
              <w:rPr>
                <w:rFonts w:ascii="Times New Roman" w:hAnsi="Times New Roman" w:cs="Times New Roman"/>
                <w:sz w:val="28"/>
                <w:szCs w:val="28"/>
              </w:rPr>
            </w:pPr>
          </w:p>
        </w:tc>
        <w:tc>
          <w:tcPr>
            <w:tcW w:w="2005" w:type="dxa"/>
            <w:vMerge/>
          </w:tcPr>
          <w:p w:rsidR="00E84DD3" w:rsidRDefault="00E84DD3" w:rsidP="00B70C11">
            <w:pPr>
              <w:rPr>
                <w:rFonts w:ascii="Times New Roman" w:hAnsi="Times New Roman" w:cs="Times New Roman"/>
                <w:sz w:val="28"/>
                <w:szCs w:val="28"/>
              </w:rPr>
            </w:pPr>
          </w:p>
        </w:tc>
        <w:tc>
          <w:tcPr>
            <w:tcW w:w="2875" w:type="dxa"/>
            <w:gridSpan w:val="2"/>
          </w:tcPr>
          <w:p w:rsidR="00E84DD3" w:rsidRDefault="00E84DD3" w:rsidP="00B70C11">
            <w:pPr>
              <w:rPr>
                <w:rFonts w:ascii="Times New Roman" w:hAnsi="Times New Roman" w:cs="Times New Roman"/>
                <w:sz w:val="28"/>
                <w:szCs w:val="28"/>
              </w:rPr>
            </w:pPr>
            <w:r w:rsidRPr="00B70C11">
              <w:rPr>
                <w:rFonts w:ascii="Times New Roman" w:hAnsi="Times New Roman" w:cs="Times New Roman"/>
                <w:sz w:val="28"/>
                <w:szCs w:val="28"/>
              </w:rPr>
              <w:t>За один год</w:t>
            </w:r>
          </w:p>
        </w:tc>
        <w:tc>
          <w:tcPr>
            <w:tcW w:w="2875" w:type="dxa"/>
            <w:gridSpan w:val="2"/>
          </w:tcPr>
          <w:p w:rsidR="00E84DD3" w:rsidRDefault="00E84DD3" w:rsidP="00B70C11">
            <w:pPr>
              <w:rPr>
                <w:rFonts w:ascii="Times New Roman" w:hAnsi="Times New Roman" w:cs="Times New Roman"/>
                <w:sz w:val="28"/>
                <w:szCs w:val="28"/>
              </w:rPr>
            </w:pPr>
            <w:r w:rsidRPr="00B70C11">
              <w:rPr>
                <w:rFonts w:ascii="Times New Roman" w:hAnsi="Times New Roman" w:cs="Times New Roman"/>
                <w:sz w:val="28"/>
                <w:szCs w:val="28"/>
              </w:rPr>
              <w:t>За два года</w:t>
            </w:r>
          </w:p>
        </w:tc>
      </w:tr>
      <w:tr w:rsidR="00E84DD3" w:rsidTr="00334FCD">
        <w:trPr>
          <w:trHeight w:val="138"/>
        </w:trPr>
        <w:tc>
          <w:tcPr>
            <w:tcW w:w="1590" w:type="dxa"/>
            <w:vMerge/>
          </w:tcPr>
          <w:p w:rsidR="00E84DD3" w:rsidRDefault="00E84DD3" w:rsidP="00B70C11">
            <w:pPr>
              <w:rPr>
                <w:rFonts w:ascii="Times New Roman" w:hAnsi="Times New Roman" w:cs="Times New Roman"/>
                <w:sz w:val="28"/>
                <w:szCs w:val="28"/>
              </w:rPr>
            </w:pPr>
          </w:p>
        </w:tc>
        <w:tc>
          <w:tcPr>
            <w:tcW w:w="2005" w:type="dxa"/>
            <w:vMerge/>
          </w:tcPr>
          <w:p w:rsidR="00E84DD3" w:rsidRDefault="00E84DD3" w:rsidP="00B70C11">
            <w:pPr>
              <w:rPr>
                <w:rFonts w:ascii="Times New Roman" w:hAnsi="Times New Roman" w:cs="Times New Roman"/>
                <w:sz w:val="28"/>
                <w:szCs w:val="28"/>
              </w:rPr>
            </w:pPr>
          </w:p>
        </w:tc>
        <w:tc>
          <w:tcPr>
            <w:tcW w:w="1711" w:type="dxa"/>
          </w:tcPr>
          <w:p w:rsidR="00E84DD3" w:rsidRDefault="00E84DD3" w:rsidP="00E84DD3">
            <w:pPr>
              <w:rPr>
                <w:rFonts w:ascii="Times New Roman" w:hAnsi="Times New Roman" w:cs="Times New Roman"/>
                <w:sz w:val="28"/>
                <w:szCs w:val="28"/>
              </w:rPr>
            </w:pPr>
            <w:r w:rsidRPr="00B70C11">
              <w:rPr>
                <w:rFonts w:ascii="Times New Roman" w:hAnsi="Times New Roman" w:cs="Times New Roman"/>
                <w:sz w:val="28"/>
                <w:szCs w:val="28"/>
              </w:rPr>
              <w:t>Абсолютное значение</w:t>
            </w:r>
          </w:p>
        </w:tc>
        <w:tc>
          <w:tcPr>
            <w:tcW w:w="1164" w:type="dxa"/>
          </w:tcPr>
          <w:p w:rsidR="00E84DD3" w:rsidRDefault="00E84DD3" w:rsidP="00B70C11">
            <w:pPr>
              <w:rPr>
                <w:rFonts w:ascii="Times New Roman" w:hAnsi="Times New Roman" w:cs="Times New Roman"/>
                <w:sz w:val="28"/>
                <w:szCs w:val="28"/>
              </w:rPr>
            </w:pPr>
            <w:r w:rsidRPr="00B70C11">
              <w:rPr>
                <w:rFonts w:ascii="Times New Roman" w:hAnsi="Times New Roman" w:cs="Times New Roman"/>
                <w:sz w:val="28"/>
                <w:szCs w:val="28"/>
              </w:rPr>
              <w:t>%</w:t>
            </w:r>
          </w:p>
        </w:tc>
        <w:tc>
          <w:tcPr>
            <w:tcW w:w="1711" w:type="dxa"/>
          </w:tcPr>
          <w:p w:rsidR="00E84DD3" w:rsidRDefault="00E84DD3" w:rsidP="00B70C11">
            <w:pPr>
              <w:rPr>
                <w:rFonts w:ascii="Times New Roman" w:hAnsi="Times New Roman" w:cs="Times New Roman"/>
                <w:sz w:val="28"/>
                <w:szCs w:val="28"/>
              </w:rPr>
            </w:pPr>
            <w:r w:rsidRPr="00B70C11">
              <w:rPr>
                <w:rFonts w:ascii="Times New Roman" w:hAnsi="Times New Roman" w:cs="Times New Roman"/>
                <w:sz w:val="28"/>
                <w:szCs w:val="28"/>
              </w:rPr>
              <w:t>Абсолютное значение</w:t>
            </w:r>
          </w:p>
        </w:tc>
        <w:tc>
          <w:tcPr>
            <w:tcW w:w="1164" w:type="dxa"/>
          </w:tcPr>
          <w:p w:rsidR="00E84DD3" w:rsidRDefault="00E84DD3" w:rsidP="00B70C11">
            <w:pPr>
              <w:rPr>
                <w:rFonts w:ascii="Times New Roman" w:hAnsi="Times New Roman" w:cs="Times New Roman"/>
                <w:sz w:val="28"/>
                <w:szCs w:val="28"/>
              </w:rPr>
            </w:pPr>
            <w:r w:rsidRPr="00B70C11">
              <w:rPr>
                <w:rFonts w:ascii="Times New Roman" w:hAnsi="Times New Roman" w:cs="Times New Roman"/>
                <w:sz w:val="28"/>
                <w:szCs w:val="28"/>
              </w:rPr>
              <w:t>%</w:t>
            </w:r>
          </w:p>
        </w:tc>
      </w:tr>
      <w:tr w:rsidR="00334FCD" w:rsidTr="00334FCD">
        <w:trPr>
          <w:trHeight w:val="201"/>
        </w:trPr>
        <w:tc>
          <w:tcPr>
            <w:tcW w:w="1590" w:type="dxa"/>
            <w:vMerge w:val="restart"/>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Масса тела</w:t>
            </w: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711" w:type="dxa"/>
          </w:tcPr>
          <w:p w:rsidR="00334FCD" w:rsidRDefault="00334FCD" w:rsidP="00334FCD">
            <w:r>
              <w:rPr>
                <w:rFonts w:ascii="Times New Roman" w:hAnsi="Times New Roman" w:cs="Times New Roman"/>
                <w:sz w:val="28"/>
                <w:szCs w:val="28"/>
              </w:rPr>
              <w:t>4,1 ± 0,1 кг</w:t>
            </w:r>
          </w:p>
        </w:tc>
        <w:tc>
          <w:tcPr>
            <w:tcW w:w="1164" w:type="dxa"/>
          </w:tcPr>
          <w:p w:rsidR="00334FCD" w:rsidRDefault="00334FCD" w:rsidP="00334FCD">
            <w:r>
              <w:rPr>
                <w:rFonts w:ascii="Times New Roman" w:hAnsi="Times New Roman" w:cs="Times New Roman"/>
                <w:sz w:val="28"/>
                <w:szCs w:val="28"/>
              </w:rPr>
              <w:t xml:space="preserve"> 13,8 </w:t>
            </w:r>
            <w:r w:rsidRPr="00EA17A7">
              <w:rPr>
                <w:rFonts w:ascii="Times New Roman" w:hAnsi="Times New Roman" w:cs="Times New Roman"/>
                <w:sz w:val="28"/>
                <w:szCs w:val="28"/>
              </w:rPr>
              <w:t xml:space="preserve"> </w:t>
            </w:r>
          </w:p>
        </w:tc>
        <w:tc>
          <w:tcPr>
            <w:tcW w:w="1711" w:type="dxa"/>
          </w:tcPr>
          <w:p w:rsidR="00334FCD" w:rsidRDefault="00334FCD" w:rsidP="00334FCD">
            <w:r w:rsidRPr="00EA17A7">
              <w:rPr>
                <w:rFonts w:ascii="Times New Roman" w:hAnsi="Times New Roman" w:cs="Times New Roman"/>
                <w:sz w:val="28"/>
                <w:szCs w:val="28"/>
              </w:rPr>
              <w:t xml:space="preserve">8,3 ± 0,2 </w:t>
            </w:r>
            <w:r>
              <w:rPr>
                <w:rFonts w:ascii="Times New Roman" w:hAnsi="Times New Roman" w:cs="Times New Roman"/>
                <w:sz w:val="28"/>
                <w:szCs w:val="28"/>
              </w:rPr>
              <w:t>кг</w:t>
            </w:r>
          </w:p>
        </w:tc>
        <w:tc>
          <w:tcPr>
            <w:tcW w:w="1164" w:type="dxa"/>
          </w:tcPr>
          <w:p w:rsidR="00334FCD" w:rsidRDefault="00334FCD" w:rsidP="00334FCD">
            <w:r w:rsidRPr="00EA17A7">
              <w:rPr>
                <w:rFonts w:ascii="Times New Roman" w:hAnsi="Times New Roman" w:cs="Times New Roman"/>
                <w:sz w:val="28"/>
                <w:szCs w:val="28"/>
              </w:rPr>
              <w:t xml:space="preserve">26,1 </w:t>
            </w:r>
          </w:p>
        </w:tc>
      </w:tr>
      <w:tr w:rsidR="00334FCD" w:rsidTr="00334FCD">
        <w:trPr>
          <w:trHeight w:val="117"/>
        </w:trPr>
        <w:tc>
          <w:tcPr>
            <w:tcW w:w="1590" w:type="dxa"/>
            <w:vMerge/>
          </w:tcPr>
          <w:p w:rsidR="00334FCD" w:rsidRDefault="00334FCD" w:rsidP="00334FCD">
            <w:pPr>
              <w:rPr>
                <w:rFonts w:ascii="Times New Roman" w:hAnsi="Times New Roman" w:cs="Times New Roman"/>
                <w:sz w:val="28"/>
                <w:szCs w:val="28"/>
              </w:rPr>
            </w:pP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Футболисты</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4,7 ± 0,3</w:t>
            </w:r>
            <w:r w:rsidRPr="00B70C11">
              <w:rPr>
                <w:rFonts w:ascii="Times New Roman" w:hAnsi="Times New Roman" w:cs="Times New Roman"/>
                <w:sz w:val="28"/>
                <w:szCs w:val="28"/>
              </w:rPr>
              <w:t xml:space="preserve"> кг</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17,1</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10,0 ± 0,3 *</w:t>
            </w:r>
            <w:r w:rsidRPr="00B70C11">
              <w:rPr>
                <w:rFonts w:ascii="Times New Roman" w:hAnsi="Times New Roman" w:cs="Times New Roman"/>
                <w:sz w:val="28"/>
                <w:szCs w:val="28"/>
              </w:rPr>
              <w:t>кг</w:t>
            </w:r>
          </w:p>
        </w:tc>
        <w:tc>
          <w:tcPr>
            <w:tcW w:w="1164" w:type="dxa"/>
          </w:tcPr>
          <w:p w:rsidR="00334FCD" w:rsidRDefault="00334FCD" w:rsidP="00334FCD">
            <w:pPr>
              <w:rPr>
                <w:rFonts w:ascii="Times New Roman" w:hAnsi="Times New Roman" w:cs="Times New Roman"/>
                <w:sz w:val="28"/>
                <w:szCs w:val="28"/>
              </w:rPr>
            </w:pPr>
            <w:r w:rsidRPr="00334FCD">
              <w:rPr>
                <w:rFonts w:ascii="Times New Roman" w:hAnsi="Times New Roman" w:cs="Times New Roman"/>
                <w:sz w:val="28"/>
                <w:szCs w:val="28"/>
              </w:rPr>
              <w:t>33,2</w:t>
            </w:r>
            <w:r w:rsidRPr="00B70C11">
              <w:rPr>
                <w:rFonts w:ascii="Times New Roman" w:hAnsi="Times New Roman" w:cs="Times New Roman"/>
                <w:sz w:val="28"/>
                <w:szCs w:val="28"/>
              </w:rPr>
              <w:t xml:space="preserve"> *</w:t>
            </w:r>
          </w:p>
        </w:tc>
      </w:tr>
      <w:tr w:rsidR="00334FCD" w:rsidTr="00334FCD">
        <w:trPr>
          <w:trHeight w:val="184"/>
        </w:trPr>
        <w:tc>
          <w:tcPr>
            <w:tcW w:w="1590" w:type="dxa"/>
            <w:vMerge w:val="restart"/>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Длина тела</w:t>
            </w: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4,7 ± 0,1</w:t>
            </w:r>
            <w:r w:rsidRPr="00B70C11">
              <w:rPr>
                <w:rFonts w:ascii="Times New Roman" w:hAnsi="Times New Roman" w:cs="Times New Roman"/>
                <w:sz w:val="28"/>
                <w:szCs w:val="28"/>
              </w:rPr>
              <w:t xml:space="preserve"> см</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3,5</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9,0 ± 0,3 </w:t>
            </w:r>
            <w:r w:rsidRPr="00B70C11">
              <w:rPr>
                <w:rFonts w:ascii="Times New Roman" w:hAnsi="Times New Roman" w:cs="Times New Roman"/>
                <w:sz w:val="28"/>
                <w:szCs w:val="28"/>
              </w:rPr>
              <w:t>см</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6,6</w:t>
            </w:r>
          </w:p>
        </w:tc>
      </w:tr>
      <w:tr w:rsidR="00334FCD" w:rsidTr="00334FCD">
        <w:trPr>
          <w:trHeight w:val="134"/>
        </w:trPr>
        <w:tc>
          <w:tcPr>
            <w:tcW w:w="1590" w:type="dxa"/>
            <w:vMerge/>
          </w:tcPr>
          <w:p w:rsidR="00334FCD" w:rsidRDefault="00334FCD" w:rsidP="00334FCD">
            <w:pPr>
              <w:rPr>
                <w:rFonts w:ascii="Times New Roman" w:hAnsi="Times New Roman" w:cs="Times New Roman"/>
                <w:sz w:val="28"/>
                <w:szCs w:val="28"/>
              </w:rPr>
            </w:pP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Футболисты</w:t>
            </w:r>
          </w:p>
        </w:tc>
        <w:tc>
          <w:tcPr>
            <w:tcW w:w="1711"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6,8 ± 0,1 *</w:t>
            </w:r>
            <w:r>
              <w:rPr>
                <w:rFonts w:ascii="Times New Roman" w:hAnsi="Times New Roman" w:cs="Times New Roman"/>
                <w:sz w:val="28"/>
                <w:szCs w:val="28"/>
              </w:rPr>
              <w:t xml:space="preserve"> см</w:t>
            </w:r>
          </w:p>
        </w:tc>
        <w:tc>
          <w:tcPr>
            <w:tcW w:w="1164"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5,1*</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12,3 ± 0,4 *</w:t>
            </w:r>
            <w:r w:rsidRPr="00B70C11">
              <w:rPr>
                <w:rFonts w:ascii="Times New Roman" w:hAnsi="Times New Roman" w:cs="Times New Roman"/>
                <w:sz w:val="28"/>
                <w:szCs w:val="28"/>
              </w:rPr>
              <w:t xml:space="preserve"> см</w:t>
            </w:r>
          </w:p>
        </w:tc>
        <w:tc>
          <w:tcPr>
            <w:tcW w:w="1164"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9,1 *</w:t>
            </w:r>
          </w:p>
        </w:tc>
      </w:tr>
      <w:tr w:rsidR="00334FCD" w:rsidTr="00334FCD">
        <w:trPr>
          <w:trHeight w:val="100"/>
        </w:trPr>
        <w:tc>
          <w:tcPr>
            <w:tcW w:w="1590" w:type="dxa"/>
            <w:vMerge w:val="restart"/>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ЖЕЛ</w:t>
            </w: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0,16 ± 0,01 </w:t>
            </w:r>
            <w:r w:rsidRPr="00B70C11">
              <w:rPr>
                <w:rFonts w:ascii="Times New Roman" w:hAnsi="Times New Roman" w:cs="Times New Roman"/>
                <w:sz w:val="28"/>
                <w:szCs w:val="28"/>
              </w:rPr>
              <w:t>л</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10,1</w:t>
            </w:r>
          </w:p>
        </w:tc>
        <w:tc>
          <w:tcPr>
            <w:tcW w:w="1711"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0,42 ± 0,</w:t>
            </w:r>
            <w:r>
              <w:rPr>
                <w:rFonts w:ascii="Times New Roman" w:hAnsi="Times New Roman" w:cs="Times New Roman"/>
                <w:sz w:val="28"/>
                <w:szCs w:val="28"/>
              </w:rPr>
              <w:t xml:space="preserve">02 </w:t>
            </w:r>
            <w:r w:rsidRPr="00B70C11">
              <w:rPr>
                <w:rFonts w:ascii="Times New Roman" w:hAnsi="Times New Roman" w:cs="Times New Roman"/>
                <w:sz w:val="28"/>
                <w:szCs w:val="28"/>
              </w:rPr>
              <w:t>л</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24,4</w:t>
            </w:r>
          </w:p>
        </w:tc>
      </w:tr>
      <w:tr w:rsidR="00334FCD" w:rsidTr="00334FCD">
        <w:trPr>
          <w:trHeight w:val="218"/>
        </w:trPr>
        <w:tc>
          <w:tcPr>
            <w:tcW w:w="1590" w:type="dxa"/>
            <w:vMerge/>
          </w:tcPr>
          <w:p w:rsidR="00334FCD" w:rsidRDefault="00334FCD" w:rsidP="00334FCD">
            <w:pPr>
              <w:rPr>
                <w:rFonts w:ascii="Times New Roman" w:hAnsi="Times New Roman" w:cs="Times New Roman"/>
                <w:sz w:val="28"/>
                <w:szCs w:val="28"/>
              </w:rPr>
            </w:pP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Футболисты</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0,37 ± 0,04 *</w:t>
            </w:r>
            <w:r w:rsidRPr="00B70C11">
              <w:rPr>
                <w:rFonts w:ascii="Times New Roman" w:hAnsi="Times New Roman" w:cs="Times New Roman"/>
                <w:sz w:val="28"/>
                <w:szCs w:val="28"/>
              </w:rPr>
              <w:t xml:space="preserve"> л</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21,2*</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0,81 ± 0,05 * </w:t>
            </w:r>
            <w:r w:rsidRPr="00B70C11">
              <w:rPr>
                <w:rFonts w:ascii="Times New Roman" w:hAnsi="Times New Roman" w:cs="Times New Roman"/>
                <w:sz w:val="28"/>
                <w:szCs w:val="28"/>
              </w:rPr>
              <w:t>л</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41,2 *</w:t>
            </w:r>
          </w:p>
        </w:tc>
      </w:tr>
      <w:tr w:rsidR="00334FCD" w:rsidTr="00334FCD">
        <w:trPr>
          <w:trHeight w:val="218"/>
        </w:trPr>
        <w:tc>
          <w:tcPr>
            <w:tcW w:w="1590" w:type="dxa"/>
            <w:vMerge w:val="restart"/>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Проба Штанге</w:t>
            </w: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5 ± 0,4 </w:t>
            </w:r>
            <w:r w:rsidRPr="00B70C11">
              <w:rPr>
                <w:rFonts w:ascii="Times New Roman" w:hAnsi="Times New Roman" w:cs="Times New Roman"/>
                <w:sz w:val="28"/>
                <w:szCs w:val="28"/>
              </w:rPr>
              <w:t>с</w:t>
            </w:r>
          </w:p>
        </w:tc>
        <w:tc>
          <w:tcPr>
            <w:tcW w:w="1164"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13,0 </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13 ± 0,5 </w:t>
            </w:r>
            <w:r w:rsidRPr="00B70C11">
              <w:rPr>
                <w:rFonts w:ascii="Times New Roman" w:hAnsi="Times New Roman" w:cs="Times New Roman"/>
                <w:sz w:val="28"/>
                <w:szCs w:val="28"/>
              </w:rPr>
              <w:t>с</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30,6</w:t>
            </w:r>
          </w:p>
        </w:tc>
      </w:tr>
      <w:tr w:rsidR="00334FCD" w:rsidTr="00334FCD">
        <w:trPr>
          <w:trHeight w:val="100"/>
        </w:trPr>
        <w:tc>
          <w:tcPr>
            <w:tcW w:w="1590" w:type="dxa"/>
            <w:vMerge/>
          </w:tcPr>
          <w:p w:rsidR="00334FCD" w:rsidRDefault="00334FCD" w:rsidP="00334FCD">
            <w:pPr>
              <w:rPr>
                <w:rFonts w:ascii="Times New Roman" w:hAnsi="Times New Roman" w:cs="Times New Roman"/>
                <w:sz w:val="28"/>
                <w:szCs w:val="28"/>
              </w:rPr>
            </w:pP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Футболисты</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16 ± 1,3 * </w:t>
            </w:r>
            <w:r w:rsidRPr="00B70C11">
              <w:rPr>
                <w:rFonts w:ascii="Times New Roman" w:hAnsi="Times New Roman" w:cs="Times New Roman"/>
                <w:sz w:val="28"/>
                <w:szCs w:val="28"/>
              </w:rPr>
              <w:t>с</w:t>
            </w:r>
          </w:p>
        </w:tc>
        <w:tc>
          <w:tcPr>
            <w:tcW w:w="1164"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35,6*</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22 ± 1,3 * </w:t>
            </w:r>
            <w:r w:rsidRPr="00B70C11">
              <w:rPr>
                <w:rFonts w:ascii="Times New Roman" w:hAnsi="Times New Roman" w:cs="Times New Roman"/>
                <w:sz w:val="28"/>
                <w:szCs w:val="28"/>
              </w:rPr>
              <w:t>с</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45,8 *</w:t>
            </w:r>
          </w:p>
        </w:tc>
      </w:tr>
      <w:tr w:rsidR="00334FCD" w:rsidTr="00334FCD">
        <w:trPr>
          <w:trHeight w:val="100"/>
        </w:trPr>
        <w:tc>
          <w:tcPr>
            <w:tcW w:w="1590" w:type="dxa"/>
            <w:vMerge w:val="restart"/>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 xml:space="preserve">Проба </w:t>
            </w:r>
            <w:proofErr w:type="spellStart"/>
            <w:r w:rsidRPr="00B70C11">
              <w:rPr>
                <w:rFonts w:ascii="Times New Roman" w:hAnsi="Times New Roman" w:cs="Times New Roman"/>
                <w:sz w:val="28"/>
                <w:szCs w:val="28"/>
              </w:rPr>
              <w:t>Генча</w:t>
            </w:r>
            <w:proofErr w:type="spellEnd"/>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Не занимающиеся</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6 ± 0,5 </w:t>
            </w:r>
            <w:r w:rsidRPr="00B70C11">
              <w:rPr>
                <w:rFonts w:ascii="Times New Roman" w:hAnsi="Times New Roman" w:cs="Times New Roman"/>
                <w:sz w:val="28"/>
                <w:szCs w:val="28"/>
              </w:rPr>
              <w:t>с</w:t>
            </w:r>
          </w:p>
        </w:tc>
        <w:tc>
          <w:tcPr>
            <w:tcW w:w="1164"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27,3 </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 xml:space="preserve">15 ± 0,6 </w:t>
            </w:r>
            <w:r w:rsidRPr="00B70C11">
              <w:rPr>
                <w:rFonts w:ascii="Times New Roman" w:hAnsi="Times New Roman" w:cs="Times New Roman"/>
                <w:sz w:val="28"/>
                <w:szCs w:val="28"/>
              </w:rPr>
              <w:t>с</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56,6</w:t>
            </w:r>
          </w:p>
        </w:tc>
      </w:tr>
      <w:tr w:rsidR="00334FCD" w:rsidTr="00334FCD">
        <w:trPr>
          <w:trHeight w:val="218"/>
        </w:trPr>
        <w:tc>
          <w:tcPr>
            <w:tcW w:w="1590" w:type="dxa"/>
            <w:vMerge/>
          </w:tcPr>
          <w:p w:rsidR="00334FCD" w:rsidRDefault="00334FCD" w:rsidP="00334FCD">
            <w:pPr>
              <w:rPr>
                <w:rFonts w:ascii="Times New Roman" w:hAnsi="Times New Roman" w:cs="Times New Roman"/>
                <w:sz w:val="28"/>
                <w:szCs w:val="28"/>
              </w:rPr>
            </w:pPr>
          </w:p>
        </w:tc>
        <w:tc>
          <w:tcPr>
            <w:tcW w:w="2005"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Футболисты</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24 ± 1,5 *</w:t>
            </w:r>
            <w:r w:rsidRPr="00B70C11">
              <w:rPr>
                <w:rFonts w:ascii="Times New Roman" w:hAnsi="Times New Roman" w:cs="Times New Roman"/>
                <w:sz w:val="28"/>
                <w:szCs w:val="28"/>
              </w:rPr>
              <w:t xml:space="preserve"> с</w:t>
            </w:r>
          </w:p>
        </w:tc>
        <w:tc>
          <w:tcPr>
            <w:tcW w:w="1164"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75,0*</w:t>
            </w:r>
          </w:p>
        </w:tc>
        <w:tc>
          <w:tcPr>
            <w:tcW w:w="1711" w:type="dxa"/>
          </w:tcPr>
          <w:p w:rsidR="00334FCD" w:rsidRDefault="00334FCD" w:rsidP="00334FCD">
            <w:pPr>
              <w:rPr>
                <w:rFonts w:ascii="Times New Roman" w:hAnsi="Times New Roman" w:cs="Times New Roman"/>
                <w:sz w:val="28"/>
                <w:szCs w:val="28"/>
              </w:rPr>
            </w:pPr>
            <w:r>
              <w:rPr>
                <w:rFonts w:ascii="Times New Roman" w:hAnsi="Times New Roman" w:cs="Times New Roman"/>
                <w:sz w:val="28"/>
                <w:szCs w:val="28"/>
              </w:rPr>
              <w:t>26 ± 1,2 *</w:t>
            </w:r>
            <w:r w:rsidRPr="00B70C11">
              <w:rPr>
                <w:rFonts w:ascii="Times New Roman" w:hAnsi="Times New Roman" w:cs="Times New Roman"/>
                <w:sz w:val="28"/>
                <w:szCs w:val="28"/>
              </w:rPr>
              <w:t>с</w:t>
            </w:r>
          </w:p>
        </w:tc>
        <w:tc>
          <w:tcPr>
            <w:tcW w:w="1164" w:type="dxa"/>
          </w:tcPr>
          <w:p w:rsidR="00334FCD" w:rsidRDefault="00334FCD" w:rsidP="00334FCD">
            <w:pPr>
              <w:rPr>
                <w:rFonts w:ascii="Times New Roman" w:hAnsi="Times New Roman" w:cs="Times New Roman"/>
                <w:sz w:val="28"/>
                <w:szCs w:val="28"/>
              </w:rPr>
            </w:pPr>
            <w:r w:rsidRPr="00B70C11">
              <w:rPr>
                <w:rFonts w:ascii="Times New Roman" w:hAnsi="Times New Roman" w:cs="Times New Roman"/>
                <w:sz w:val="28"/>
                <w:szCs w:val="28"/>
              </w:rPr>
              <w:t>78,8 *</w:t>
            </w:r>
          </w:p>
        </w:tc>
      </w:tr>
    </w:tbl>
    <w:p w:rsidR="00E84DD3" w:rsidRDefault="00E84DD3" w:rsidP="00B70C11">
      <w:pPr>
        <w:rPr>
          <w:rFonts w:ascii="Times New Roman" w:hAnsi="Times New Roman" w:cs="Times New Roman"/>
          <w:sz w:val="28"/>
          <w:szCs w:val="28"/>
        </w:rPr>
      </w:pPr>
    </w:p>
    <w:p w:rsidR="00FC2FC5" w:rsidRDefault="00B70C11" w:rsidP="00B70C11">
      <w:pPr>
        <w:rPr>
          <w:rFonts w:ascii="Times New Roman" w:hAnsi="Times New Roman" w:cs="Times New Roman"/>
          <w:sz w:val="28"/>
          <w:szCs w:val="28"/>
        </w:rPr>
      </w:pPr>
      <w:r w:rsidRPr="00FC2FC5">
        <w:rPr>
          <w:rFonts w:ascii="Times New Roman" w:hAnsi="Times New Roman" w:cs="Times New Roman"/>
          <w:i/>
          <w:sz w:val="28"/>
          <w:szCs w:val="28"/>
        </w:rPr>
        <w:lastRenderedPageBreak/>
        <w:t xml:space="preserve">Примечание: * – достоверные различия (р </w:t>
      </w:r>
      <w:proofErr w:type="gramStart"/>
      <w:r w:rsidRPr="00FC2FC5">
        <w:rPr>
          <w:rFonts w:ascii="Times New Roman" w:hAnsi="Times New Roman" w:cs="Times New Roman"/>
          <w:i/>
          <w:sz w:val="28"/>
          <w:szCs w:val="28"/>
        </w:rPr>
        <w:t>&lt; 0</w:t>
      </w:r>
      <w:proofErr w:type="gramEnd"/>
      <w:r w:rsidRPr="00FC2FC5">
        <w:rPr>
          <w:rFonts w:ascii="Times New Roman" w:hAnsi="Times New Roman" w:cs="Times New Roman"/>
          <w:i/>
          <w:sz w:val="28"/>
          <w:szCs w:val="28"/>
        </w:rPr>
        <w:t>,05) по отношению к величине аналогичного показателя у детей, не занимающихся спортом, на том же этапе тестирования; О – достоверные различия (р &lt; 0,05) по отношению к исходной величине показателя в своей группе.</w:t>
      </w:r>
      <w:r w:rsidRPr="00B70C11">
        <w:rPr>
          <w:rFonts w:ascii="Times New Roman" w:hAnsi="Times New Roman" w:cs="Times New Roman"/>
          <w:sz w:val="28"/>
          <w:szCs w:val="28"/>
        </w:rPr>
        <w:t xml:space="preserve"> </w:t>
      </w:r>
    </w:p>
    <w:p w:rsidR="00FC2FC5" w:rsidRDefault="00FC2FC5"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Указанные факты свидетельствуют о </w:t>
      </w:r>
      <w:proofErr w:type="spellStart"/>
      <w:r w:rsidR="00B70C11" w:rsidRPr="00B70C11">
        <w:rPr>
          <w:rFonts w:ascii="Times New Roman" w:hAnsi="Times New Roman" w:cs="Times New Roman"/>
          <w:sz w:val="28"/>
          <w:szCs w:val="28"/>
        </w:rPr>
        <w:t>гетерохронности</w:t>
      </w:r>
      <w:proofErr w:type="spellEnd"/>
      <w:r w:rsidR="00B70C11" w:rsidRPr="00B70C11">
        <w:rPr>
          <w:rFonts w:ascii="Times New Roman" w:hAnsi="Times New Roman" w:cs="Times New Roman"/>
          <w:sz w:val="28"/>
          <w:szCs w:val="28"/>
        </w:rPr>
        <w:t xml:space="preserve"> процессов развития легочной системы и формирования механизмов, обеспечивающих чувствительность организма к гипоксии. Последние формируются у мальчиков 8–10 лет быстрее по сравнению с развитием лёгочной системы. Полученные данные подтверждают существующие представления о том, что возраст 9–10 лет является важным сенситивным периодом в развитии («расцвете») аэробных возможностей организма [1], [5]. </w:t>
      </w:r>
    </w:p>
    <w:p w:rsidR="00FC2FC5" w:rsidRDefault="00FC2FC5"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Спортивные тренировки ускоряют формирование механизмов, обеспечивающих антигипоксическую устойчивость организма, а также процессов развития легочной системы. Темпы прироста жизненной ёмкости лёгких (на 21,2% за 1 год и на 41,2% за 2 года) у юных футболистов превышают темпы прироста массы тела, которые составили у них 17,7% (за 1 год) и 33,2% (за 2 года). У мальчиков, не занимавшихся в спортивных школах, темпы прироста массы тела (13,8% за 1 год и 26,1% за 2 года) были больше темпов прироста жизненной ёмкости лёгких (таблица 2), что подтверждается независимыми исследованиями [1], [3], [5], [6]. </w:t>
      </w:r>
    </w:p>
    <w:p w:rsidR="00FC2FC5" w:rsidRDefault="00FC2FC5"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В результате жизненный индекс (отношение объёма жизненной ёмкости лёгких к массе тела), выраженный в мл/кг, у не занимавшихся в спортивных школах детей имел тенденцию к снижению (с 56 до 52 мл/кг), в то время как у юных футболистов данный индекс повышался (с 61 до 66 мл/кг). </w:t>
      </w:r>
    </w:p>
    <w:p w:rsidR="00FC2FC5" w:rsidRDefault="00FC2FC5"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Полученные результаты свидетельствуют, что в первую очередь под влиянием физических тренировок у детей увеличиваются функциональные резервы организма, а затем возрастает и темп прироста антропометрических показателей.</w:t>
      </w:r>
    </w:p>
    <w:p w:rsidR="00FC2FC5" w:rsidRDefault="00FC2FC5"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 Можно утверждать, что увеличение двигательной активности детей младшего школьного возраста способствует не только возрастанию у них функциональных резервов, но и ускоряет темп прироста антропометрических показателей их физического развития. ПЕДАГАГІЧНЫЯ НАВУКІ </w:t>
      </w:r>
      <w:r>
        <w:rPr>
          <w:rFonts w:ascii="Times New Roman" w:hAnsi="Times New Roman" w:cs="Times New Roman"/>
          <w:sz w:val="28"/>
          <w:szCs w:val="28"/>
        </w:rPr>
        <w:t xml:space="preserve"> </w:t>
      </w:r>
    </w:p>
    <w:p w:rsidR="00FC2FC5" w:rsidRDefault="00FC2FC5"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Известно, что применение игровых средств в тренировках юных футболистов позволяет наиболее полно включать всю эмоциональную сферу юного спортсмена в игровую деятельность, что существенно для повышения спортивной выносливости и работоспособности организма [7], [9]. Спортивная выносливость и работоспособность юных спортсменов во </w:t>
      </w:r>
      <w:r w:rsidR="00B70C11" w:rsidRPr="00B70C11">
        <w:rPr>
          <w:rFonts w:ascii="Times New Roman" w:hAnsi="Times New Roman" w:cs="Times New Roman"/>
          <w:sz w:val="28"/>
          <w:szCs w:val="28"/>
        </w:rPr>
        <w:lastRenderedPageBreak/>
        <w:t xml:space="preserve">многом определяются степенью развития у них аэробных механизмов получения энергии [10]. </w:t>
      </w:r>
    </w:p>
    <w:p w:rsidR="00FC2FC5" w:rsidRDefault="00FC2FC5"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Проведенное сравнение показателей физической подготовленности детей 8–10 лет с разными двигательными режимами показало следующее. Уже первое тестирование младших школьников (8 лет) после 6 месяцев учебно-тренировочных занятий выявило, что результаты юных футболистов в беге по прямой на дистанции 30 метров с высокого старта были достоверно лучше, чем у не занимающихся спортом детей того же возраста (таблица 3). Улучшение показателей – увеличение скорости и уменьшение длительности (времени) </w:t>
      </w:r>
      <w:proofErr w:type="spellStart"/>
      <w:r w:rsidR="00B70C11" w:rsidRPr="00B70C11">
        <w:rPr>
          <w:rFonts w:ascii="Times New Roman" w:hAnsi="Times New Roman" w:cs="Times New Roman"/>
          <w:sz w:val="28"/>
          <w:szCs w:val="28"/>
        </w:rPr>
        <w:t>пробегания</w:t>
      </w:r>
      <w:proofErr w:type="spellEnd"/>
      <w:r w:rsidR="00B70C11" w:rsidRPr="00B70C11">
        <w:rPr>
          <w:rFonts w:ascii="Times New Roman" w:hAnsi="Times New Roman" w:cs="Times New Roman"/>
          <w:sz w:val="28"/>
          <w:szCs w:val="28"/>
        </w:rPr>
        <w:t xml:space="preserve"> 30 метров – происходит у детей в обеих группах (таблица 3). Однако на всех этапах исследования достоверно лучшие результаты в беге на 30 метров выявлены у тренирующихся юных футболистов (таблица 3). Так, увеличение скорости при беге на короткие дистанции (30 м) у юных футболистов при 4-м тестировании составило в среднем 5,91 м/с, а у </w:t>
      </w:r>
      <w:proofErr w:type="spellStart"/>
      <w:r w:rsidR="00B70C11" w:rsidRPr="00B70C11">
        <w:rPr>
          <w:rFonts w:ascii="Times New Roman" w:hAnsi="Times New Roman" w:cs="Times New Roman"/>
          <w:sz w:val="28"/>
          <w:szCs w:val="28"/>
        </w:rPr>
        <w:t>нетренирующихся</w:t>
      </w:r>
      <w:proofErr w:type="spellEnd"/>
      <w:r w:rsidR="00B70C11" w:rsidRPr="00B70C11">
        <w:rPr>
          <w:rFonts w:ascii="Times New Roman" w:hAnsi="Times New Roman" w:cs="Times New Roman"/>
          <w:sz w:val="28"/>
          <w:szCs w:val="28"/>
        </w:rPr>
        <w:t xml:space="preserve"> мальчиков той же возрастной группы (10 лет) только 5,26 м/с (р </w:t>
      </w:r>
      <w:proofErr w:type="gramStart"/>
      <w:r w:rsidR="00B70C11" w:rsidRPr="00B70C11">
        <w:rPr>
          <w:rFonts w:ascii="Times New Roman" w:hAnsi="Times New Roman" w:cs="Times New Roman"/>
          <w:sz w:val="28"/>
          <w:szCs w:val="28"/>
        </w:rPr>
        <w:t>&lt; 0,001</w:t>
      </w:r>
      <w:proofErr w:type="gramEnd"/>
      <w:r w:rsidR="00B70C11" w:rsidRPr="00B70C11">
        <w:rPr>
          <w:rFonts w:ascii="Times New Roman" w:hAnsi="Times New Roman" w:cs="Times New Roman"/>
          <w:sz w:val="28"/>
          <w:szCs w:val="28"/>
        </w:rPr>
        <w:t xml:space="preserve">). </w:t>
      </w:r>
    </w:p>
    <w:p w:rsidR="00FC2FC5" w:rsidRDefault="00B70C11" w:rsidP="00B70C11">
      <w:pPr>
        <w:rPr>
          <w:rFonts w:ascii="Times New Roman" w:hAnsi="Times New Roman" w:cs="Times New Roman"/>
          <w:sz w:val="28"/>
          <w:szCs w:val="28"/>
        </w:rPr>
      </w:pPr>
      <w:r w:rsidRPr="00B70C11">
        <w:rPr>
          <w:rFonts w:ascii="Times New Roman" w:hAnsi="Times New Roman" w:cs="Times New Roman"/>
          <w:sz w:val="28"/>
          <w:szCs w:val="28"/>
        </w:rPr>
        <w:t xml:space="preserve">Таблица 3 – Динамика показателей физической подготовленности младших школьников 8–10 лет (2–4 классы), занимающихся (футболистов, n = 30) и не занимающихся (n = 30) спортом </w:t>
      </w:r>
    </w:p>
    <w:tbl>
      <w:tblPr>
        <w:tblStyle w:val="a3"/>
        <w:tblW w:w="0" w:type="auto"/>
        <w:tblLook w:val="04A0" w:firstRow="1" w:lastRow="0" w:firstColumn="1" w:lastColumn="0" w:noHBand="0" w:noVBand="1"/>
      </w:tblPr>
      <w:tblGrid>
        <w:gridCol w:w="1590"/>
        <w:gridCol w:w="1983"/>
        <w:gridCol w:w="22"/>
        <w:gridCol w:w="1409"/>
        <w:gridCol w:w="1472"/>
        <w:gridCol w:w="1472"/>
        <w:gridCol w:w="1397"/>
      </w:tblGrid>
      <w:tr w:rsidR="00833204" w:rsidTr="00FC2FC5">
        <w:tc>
          <w:tcPr>
            <w:tcW w:w="159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Показатели</w:t>
            </w:r>
          </w:p>
        </w:tc>
        <w:tc>
          <w:tcPr>
            <w:tcW w:w="1172" w:type="dxa"/>
          </w:tcPr>
          <w:p w:rsidR="00833204" w:rsidRPr="00FC2FC5"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Группа</w:t>
            </w:r>
          </w:p>
        </w:tc>
        <w:tc>
          <w:tcPr>
            <w:tcW w:w="6583" w:type="dxa"/>
            <w:gridSpan w:val="5"/>
          </w:tcPr>
          <w:p w:rsidR="00833204" w:rsidRPr="00FC2FC5" w:rsidRDefault="00833204" w:rsidP="00833204">
            <w:pPr>
              <w:jc w:val="center"/>
              <w:rPr>
                <w:rFonts w:ascii="Times New Roman" w:hAnsi="Times New Roman" w:cs="Times New Roman"/>
                <w:b/>
                <w:sz w:val="28"/>
                <w:szCs w:val="28"/>
              </w:rPr>
            </w:pPr>
            <w:r w:rsidRPr="00FC2FC5">
              <w:rPr>
                <w:rFonts w:ascii="Times New Roman" w:hAnsi="Times New Roman" w:cs="Times New Roman"/>
                <w:b/>
                <w:sz w:val="28"/>
                <w:szCs w:val="28"/>
              </w:rPr>
              <w:t>Этапы тестирования и величины показателей в процессе развития и обучения</w:t>
            </w:r>
          </w:p>
        </w:tc>
      </w:tr>
      <w:tr w:rsidR="00833204" w:rsidTr="00833204">
        <w:trPr>
          <w:trHeight w:val="138"/>
        </w:trPr>
        <w:tc>
          <w:tcPr>
            <w:tcW w:w="1590" w:type="dxa"/>
            <w:vMerge w:val="restart"/>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 xml:space="preserve">Время </w:t>
            </w:r>
            <w:proofErr w:type="spellStart"/>
            <w:r w:rsidRPr="00B70C11">
              <w:rPr>
                <w:rFonts w:ascii="Times New Roman" w:hAnsi="Times New Roman" w:cs="Times New Roman"/>
                <w:sz w:val="28"/>
                <w:szCs w:val="28"/>
              </w:rPr>
              <w:t>пробегания</w:t>
            </w:r>
            <w:proofErr w:type="spellEnd"/>
            <w:r w:rsidRPr="00B70C11">
              <w:rPr>
                <w:rFonts w:ascii="Times New Roman" w:hAnsi="Times New Roman" w:cs="Times New Roman"/>
                <w:sz w:val="28"/>
                <w:szCs w:val="28"/>
              </w:rPr>
              <w:t xml:space="preserve"> 30 м с высокого старта, с</w:t>
            </w:r>
          </w:p>
        </w:tc>
        <w:tc>
          <w:tcPr>
            <w:tcW w:w="1192" w:type="dxa"/>
            <w:gridSpan w:val="2"/>
            <w:vMerge w:val="restart"/>
          </w:tcPr>
          <w:p w:rsidR="00833204" w:rsidRPr="00FC2FC5" w:rsidRDefault="00833204" w:rsidP="00833204">
            <w:pPr>
              <w:rPr>
                <w:rFonts w:ascii="Times New Roman" w:hAnsi="Times New Roman" w:cs="Times New Roman"/>
                <w:sz w:val="28"/>
                <w:szCs w:val="28"/>
              </w:rPr>
            </w:pPr>
          </w:p>
        </w:tc>
        <w:tc>
          <w:tcPr>
            <w:tcW w:w="157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І через 6 месяцев</w:t>
            </w:r>
          </w:p>
        </w:tc>
        <w:tc>
          <w:tcPr>
            <w:tcW w:w="1676"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ІІ через 12 месяцев</w:t>
            </w:r>
          </w:p>
        </w:tc>
        <w:tc>
          <w:tcPr>
            <w:tcW w:w="1677"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ІІІ через 18 месяцев</w:t>
            </w:r>
          </w:p>
        </w:tc>
        <w:tc>
          <w:tcPr>
            <w:tcW w:w="1640" w:type="dxa"/>
          </w:tcPr>
          <w:p w:rsidR="00833204" w:rsidRPr="00B70C11"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ІV через 24 месяца</w:t>
            </w:r>
          </w:p>
        </w:tc>
      </w:tr>
      <w:tr w:rsidR="00833204" w:rsidTr="003755C7">
        <w:trPr>
          <w:trHeight w:val="167"/>
        </w:trPr>
        <w:tc>
          <w:tcPr>
            <w:tcW w:w="1590" w:type="dxa"/>
            <w:vMerge/>
          </w:tcPr>
          <w:p w:rsidR="00833204" w:rsidRPr="00B70C11" w:rsidRDefault="00833204" w:rsidP="00833204">
            <w:pPr>
              <w:rPr>
                <w:rFonts w:ascii="Times New Roman" w:hAnsi="Times New Roman" w:cs="Times New Roman"/>
                <w:sz w:val="28"/>
                <w:szCs w:val="28"/>
              </w:rPr>
            </w:pPr>
          </w:p>
        </w:tc>
        <w:tc>
          <w:tcPr>
            <w:tcW w:w="1192" w:type="dxa"/>
            <w:gridSpan w:val="2"/>
            <w:vMerge/>
          </w:tcPr>
          <w:p w:rsidR="00833204" w:rsidRPr="00FC2FC5" w:rsidRDefault="00833204" w:rsidP="00833204">
            <w:pPr>
              <w:rPr>
                <w:rFonts w:ascii="Times New Roman" w:hAnsi="Times New Roman" w:cs="Times New Roman"/>
                <w:sz w:val="28"/>
                <w:szCs w:val="28"/>
              </w:rPr>
            </w:pPr>
          </w:p>
        </w:tc>
        <w:tc>
          <w:tcPr>
            <w:tcW w:w="6563" w:type="dxa"/>
            <w:gridSpan w:val="4"/>
          </w:tcPr>
          <w:p w:rsidR="00833204" w:rsidRPr="00B70C11" w:rsidRDefault="00833204" w:rsidP="00833204">
            <w:pPr>
              <w:jc w:val="center"/>
              <w:rPr>
                <w:rFonts w:ascii="Times New Roman" w:hAnsi="Times New Roman" w:cs="Times New Roman"/>
                <w:sz w:val="28"/>
                <w:szCs w:val="28"/>
              </w:rPr>
            </w:pPr>
            <w:r w:rsidRPr="00B70C11">
              <w:rPr>
                <w:rFonts w:ascii="Times New Roman" w:hAnsi="Times New Roman" w:cs="Times New Roman"/>
                <w:sz w:val="28"/>
                <w:szCs w:val="28"/>
              </w:rPr>
              <w:t>M ± m</w:t>
            </w:r>
          </w:p>
        </w:tc>
      </w:tr>
      <w:tr w:rsidR="00833204" w:rsidTr="00833204">
        <w:trPr>
          <w:trHeight w:val="435"/>
        </w:trPr>
        <w:tc>
          <w:tcPr>
            <w:tcW w:w="1590" w:type="dxa"/>
            <w:vMerge/>
          </w:tcPr>
          <w:p w:rsidR="00833204" w:rsidRDefault="00833204" w:rsidP="00833204">
            <w:pPr>
              <w:rPr>
                <w:rFonts w:ascii="Times New Roman" w:hAnsi="Times New Roman" w:cs="Times New Roman"/>
                <w:sz w:val="28"/>
                <w:szCs w:val="28"/>
              </w:rPr>
            </w:pPr>
          </w:p>
        </w:tc>
        <w:tc>
          <w:tcPr>
            <w:tcW w:w="1192" w:type="dxa"/>
            <w:gridSpan w:val="2"/>
          </w:tcPr>
          <w:p w:rsidR="00833204" w:rsidRP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Не занимающиеся</w:t>
            </w:r>
          </w:p>
        </w:tc>
        <w:tc>
          <w:tcPr>
            <w:tcW w:w="157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6,3 ± 0,06</w:t>
            </w:r>
          </w:p>
        </w:tc>
        <w:tc>
          <w:tcPr>
            <w:tcW w:w="1676"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5,9 ± 0,05</w:t>
            </w:r>
          </w:p>
        </w:tc>
        <w:tc>
          <w:tcPr>
            <w:tcW w:w="1677"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5,9 ± 0,05</w:t>
            </w:r>
          </w:p>
        </w:tc>
        <w:tc>
          <w:tcPr>
            <w:tcW w:w="164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5,7 ± 0,04</w:t>
            </w:r>
          </w:p>
        </w:tc>
      </w:tr>
      <w:tr w:rsidR="00833204" w:rsidTr="00FC2FC5">
        <w:trPr>
          <w:trHeight w:val="502"/>
        </w:trPr>
        <w:tc>
          <w:tcPr>
            <w:tcW w:w="1590" w:type="dxa"/>
            <w:vMerge/>
          </w:tcPr>
          <w:p w:rsidR="00833204" w:rsidRDefault="00833204" w:rsidP="00833204">
            <w:pPr>
              <w:rPr>
                <w:rFonts w:ascii="Times New Roman" w:hAnsi="Times New Roman" w:cs="Times New Roman"/>
                <w:sz w:val="28"/>
                <w:szCs w:val="28"/>
              </w:rPr>
            </w:pPr>
          </w:p>
        </w:tc>
        <w:tc>
          <w:tcPr>
            <w:tcW w:w="1192" w:type="dxa"/>
            <w:gridSpan w:val="2"/>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Футболисты</w:t>
            </w:r>
          </w:p>
        </w:tc>
        <w:tc>
          <w:tcPr>
            <w:tcW w:w="157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5,4 ± 0,06 *</w:t>
            </w:r>
          </w:p>
        </w:tc>
        <w:tc>
          <w:tcPr>
            <w:tcW w:w="1676"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5,3 ± 0,05 *</w:t>
            </w:r>
          </w:p>
        </w:tc>
        <w:tc>
          <w:tcPr>
            <w:tcW w:w="1677" w:type="dxa"/>
          </w:tcPr>
          <w:p w:rsidR="00833204" w:rsidRPr="00B70C11"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5,2 ± 0,05 *</w:t>
            </w:r>
          </w:p>
        </w:tc>
        <w:tc>
          <w:tcPr>
            <w:tcW w:w="164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5,1 ± 0,04 *</w:t>
            </w:r>
          </w:p>
        </w:tc>
      </w:tr>
      <w:tr w:rsidR="00833204" w:rsidTr="00FC2FC5">
        <w:trPr>
          <w:trHeight w:val="167"/>
        </w:trPr>
        <w:tc>
          <w:tcPr>
            <w:tcW w:w="1590" w:type="dxa"/>
            <w:vMerge w:val="restart"/>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Длина прыжка с места, см</w:t>
            </w:r>
          </w:p>
        </w:tc>
        <w:tc>
          <w:tcPr>
            <w:tcW w:w="1192" w:type="dxa"/>
            <w:gridSpan w:val="2"/>
          </w:tcPr>
          <w:p w:rsidR="00833204" w:rsidRPr="00FC2FC5"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Не занимающиеся</w:t>
            </w:r>
          </w:p>
        </w:tc>
        <w:tc>
          <w:tcPr>
            <w:tcW w:w="157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138,8 ± 0,5</w:t>
            </w:r>
          </w:p>
        </w:tc>
        <w:tc>
          <w:tcPr>
            <w:tcW w:w="1676"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142,2 ± 0,5</w:t>
            </w:r>
          </w:p>
        </w:tc>
        <w:tc>
          <w:tcPr>
            <w:tcW w:w="1677"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144,7 ± 0,5</w:t>
            </w:r>
          </w:p>
        </w:tc>
        <w:tc>
          <w:tcPr>
            <w:tcW w:w="164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150,6 ± 0,5</w:t>
            </w:r>
          </w:p>
        </w:tc>
      </w:tr>
      <w:tr w:rsidR="00833204" w:rsidTr="00FC2FC5">
        <w:trPr>
          <w:trHeight w:val="151"/>
        </w:trPr>
        <w:tc>
          <w:tcPr>
            <w:tcW w:w="1590" w:type="dxa"/>
            <w:vMerge/>
          </w:tcPr>
          <w:p w:rsidR="00833204" w:rsidRDefault="00833204" w:rsidP="00833204">
            <w:pPr>
              <w:rPr>
                <w:rFonts w:ascii="Times New Roman" w:hAnsi="Times New Roman" w:cs="Times New Roman"/>
                <w:sz w:val="28"/>
                <w:szCs w:val="28"/>
              </w:rPr>
            </w:pPr>
          </w:p>
        </w:tc>
        <w:tc>
          <w:tcPr>
            <w:tcW w:w="1192" w:type="dxa"/>
            <w:gridSpan w:val="2"/>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Футболисты</w:t>
            </w:r>
          </w:p>
        </w:tc>
        <w:tc>
          <w:tcPr>
            <w:tcW w:w="157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142,9 ± 2,3</w:t>
            </w:r>
          </w:p>
        </w:tc>
        <w:tc>
          <w:tcPr>
            <w:tcW w:w="1676"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146,9 ± 2,3</w:t>
            </w:r>
          </w:p>
        </w:tc>
        <w:tc>
          <w:tcPr>
            <w:tcW w:w="1677"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152,0 ± 2,4*</w:t>
            </w:r>
          </w:p>
        </w:tc>
        <w:tc>
          <w:tcPr>
            <w:tcW w:w="1640" w:type="dxa"/>
          </w:tcPr>
          <w:p w:rsidR="00833204" w:rsidRDefault="00833204" w:rsidP="00833204">
            <w:pPr>
              <w:rPr>
                <w:rFonts w:ascii="Times New Roman" w:hAnsi="Times New Roman" w:cs="Times New Roman"/>
                <w:sz w:val="28"/>
                <w:szCs w:val="28"/>
              </w:rPr>
            </w:pPr>
            <w:r w:rsidRPr="00B70C11">
              <w:rPr>
                <w:rFonts w:ascii="Times New Roman" w:hAnsi="Times New Roman" w:cs="Times New Roman"/>
                <w:sz w:val="28"/>
                <w:szCs w:val="28"/>
              </w:rPr>
              <w:t>161,5 ± 1,9 *</w:t>
            </w:r>
          </w:p>
        </w:tc>
      </w:tr>
    </w:tbl>
    <w:p w:rsidR="00FC2FC5" w:rsidRDefault="00FC2FC5" w:rsidP="00B70C11">
      <w:pPr>
        <w:rPr>
          <w:rFonts w:ascii="Times New Roman" w:hAnsi="Times New Roman" w:cs="Times New Roman"/>
          <w:sz w:val="28"/>
          <w:szCs w:val="28"/>
        </w:rPr>
      </w:pPr>
    </w:p>
    <w:p w:rsidR="00833204" w:rsidRPr="00833204" w:rsidRDefault="00B70C11" w:rsidP="00B70C11">
      <w:pPr>
        <w:rPr>
          <w:rFonts w:ascii="Times New Roman" w:hAnsi="Times New Roman" w:cs="Times New Roman"/>
          <w:i/>
          <w:sz w:val="28"/>
          <w:szCs w:val="28"/>
        </w:rPr>
      </w:pPr>
      <w:r w:rsidRPr="00833204">
        <w:rPr>
          <w:rFonts w:ascii="Times New Roman" w:hAnsi="Times New Roman" w:cs="Times New Roman"/>
          <w:i/>
          <w:sz w:val="28"/>
          <w:szCs w:val="28"/>
        </w:rPr>
        <w:t xml:space="preserve">Примечание: * – достоверные различия (р </w:t>
      </w:r>
      <w:proofErr w:type="gramStart"/>
      <w:r w:rsidRPr="00833204">
        <w:rPr>
          <w:rFonts w:ascii="Times New Roman" w:hAnsi="Times New Roman" w:cs="Times New Roman"/>
          <w:i/>
          <w:sz w:val="28"/>
          <w:szCs w:val="28"/>
        </w:rPr>
        <w:t>&lt; 0</w:t>
      </w:r>
      <w:proofErr w:type="gramEnd"/>
      <w:r w:rsidRPr="00833204">
        <w:rPr>
          <w:rFonts w:ascii="Times New Roman" w:hAnsi="Times New Roman" w:cs="Times New Roman"/>
          <w:i/>
          <w:sz w:val="28"/>
          <w:szCs w:val="28"/>
        </w:rPr>
        <w:t xml:space="preserve">,05) по отношению к величине аналогичного показателя у детей, не занимающихся спортом, на том же этапе тестирования; О – достоверные различия (р &lt; 0,05) по отношению к исходной величине показателя в своей группе. </w:t>
      </w:r>
    </w:p>
    <w:p w:rsidR="00F339E4" w:rsidRDefault="00833204" w:rsidP="00B70C1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0C11" w:rsidRPr="00B70C11">
        <w:rPr>
          <w:rFonts w:ascii="Times New Roman" w:hAnsi="Times New Roman" w:cs="Times New Roman"/>
          <w:sz w:val="28"/>
          <w:szCs w:val="28"/>
        </w:rPr>
        <w:t xml:space="preserve">Полученные данные указывают на существенную разницу в проявлении качества скорости в двигательной активности и физической подготовленности юных футболистов и мальчиков, не занимающихся спортом. Юные футболисты за счет постоянной беговой работы со сменой скорости, чередованием различных пробегаемых отрезков значительно укрепляют свой опорно-двигательный аппарат и ускоряют формирование качества быстроты. Аналогичная картина отмечалась при анализе скоростно-силовых показателей тренирующихся и не тренирующихся детей младшего школьного возраста. В обеих группах отмечалось достоверное возрастание расстояния прыжка в длину у мальчиков 9–10 лет по сравнению с их же данными в 8-летнем возрасте: у нетренированных детей +5,9 см (р </w:t>
      </w:r>
      <w:proofErr w:type="gramStart"/>
      <w:r w:rsidR="00B70C11" w:rsidRPr="00B70C11">
        <w:rPr>
          <w:rFonts w:ascii="Times New Roman" w:hAnsi="Times New Roman" w:cs="Times New Roman"/>
          <w:sz w:val="28"/>
          <w:szCs w:val="28"/>
        </w:rPr>
        <w:t>&lt; 0,001</w:t>
      </w:r>
      <w:proofErr w:type="gramEnd"/>
      <w:r w:rsidR="00B70C11" w:rsidRPr="00B70C11">
        <w:rPr>
          <w:rFonts w:ascii="Times New Roman" w:hAnsi="Times New Roman" w:cs="Times New Roman"/>
          <w:sz w:val="28"/>
          <w:szCs w:val="28"/>
        </w:rPr>
        <w:t xml:space="preserve">) в 9 лет и +11,8 см (р &lt; 0,001) в 10 лет; у юных футболистов +7,1 см (р &lt; 0,01) и +18,6 см (р &lt; 0,001) соответственно. Причём длина прыжка с места у юных спортсменов при 3-м и 4-м тестированиях была достоверно больше аналогичных показателей нетренированных мальчиков той же возрастной группы (таблица 3). Полученные результаты подтверждают существующие представления о том, что у младших школьников предпочтительнее развивать физические качества быстроты и скоростно-силовые, что обусловлено нарастанием массы скелетных мышц и увеличением числа быстрых (белых мышечных волокон типа IIБ) двигательных единиц в них. </w:t>
      </w:r>
      <w:r w:rsidR="00F339E4">
        <w:rPr>
          <w:rFonts w:ascii="Times New Roman" w:hAnsi="Times New Roman" w:cs="Times New Roman"/>
          <w:sz w:val="28"/>
          <w:szCs w:val="28"/>
        </w:rPr>
        <w:t xml:space="preserve">   </w:t>
      </w:r>
    </w:p>
    <w:p w:rsidR="00F339E4" w:rsidRDefault="00F339E4"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Выводы </w:t>
      </w:r>
    </w:p>
    <w:p w:rsidR="00F339E4" w:rsidRDefault="00F339E4"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1. Высокая двигательная активность юных футболистов способствует ускорению темпов физического развития мальчиков младшего школьного возраста: прирост массы и длины тела у них превысил за два года тренировок аналогичные показатели нетренированных детей на 1,7 кг (или 7,1% ) р &lt; 0,01 и 3,3 см (или 2,5% ) р &lt; 0,001; прирост ЖЕЛ у юных спортсменов за первый год тренировок был в 2,31 раза (или на 0,21 л) больше (р &lt; 0,001), чем у их сверстников, не занимающихся в спортивных секциях, а за два года – на 0,39 л (р &lt; 0,001) больше. </w:t>
      </w:r>
    </w:p>
    <w:p w:rsidR="00F339E4" w:rsidRDefault="00F339E4"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2. Высокая двигательная активность юных футболистов повышает их функциональные (аэробные) возможности и антигипоксическую устойчивость в пробах Штанге и </w:t>
      </w:r>
      <w:proofErr w:type="spellStart"/>
      <w:r w:rsidR="00B70C11" w:rsidRPr="00B70C11">
        <w:rPr>
          <w:rFonts w:ascii="Times New Roman" w:hAnsi="Times New Roman" w:cs="Times New Roman"/>
          <w:sz w:val="28"/>
          <w:szCs w:val="28"/>
        </w:rPr>
        <w:t>Генча</w:t>
      </w:r>
      <w:proofErr w:type="spellEnd"/>
      <w:r w:rsidR="00B70C11" w:rsidRPr="00B70C11">
        <w:rPr>
          <w:rFonts w:ascii="Times New Roman" w:hAnsi="Times New Roman" w:cs="Times New Roman"/>
          <w:sz w:val="28"/>
          <w:szCs w:val="28"/>
        </w:rPr>
        <w:t xml:space="preserve"> по сравнению с нетренированными детьми. Длительность задержки дыхания на вдохе у юных футболистов 9-ти лет (53 ± 2 с) превышает аналогичный показатель их сверстников на 12 с (р </w:t>
      </w:r>
      <w:proofErr w:type="gramStart"/>
      <w:r w:rsidR="00B70C11" w:rsidRPr="00B70C11">
        <w:rPr>
          <w:rFonts w:ascii="Times New Roman" w:hAnsi="Times New Roman" w:cs="Times New Roman"/>
          <w:sz w:val="28"/>
          <w:szCs w:val="28"/>
        </w:rPr>
        <w:t>&lt; 0</w:t>
      </w:r>
      <w:proofErr w:type="gramEnd"/>
      <w:r w:rsidR="00B70C11" w:rsidRPr="00B70C11">
        <w:rPr>
          <w:rFonts w:ascii="Times New Roman" w:hAnsi="Times New Roman" w:cs="Times New Roman"/>
          <w:sz w:val="28"/>
          <w:szCs w:val="28"/>
        </w:rPr>
        <w:t xml:space="preserve">,01) и соответствует показателю пробы Штанге для 11-летних нетренированных мальчиков. Этот показатель (59 ± 2 с): у 10-летних футболистов превышает длительность задержки дыхания на вдохе по сравнению с их нетренированными сверстниками на 10 с (р </w:t>
      </w:r>
      <w:proofErr w:type="gramStart"/>
      <w:r w:rsidR="00B70C11" w:rsidRPr="00B70C11">
        <w:rPr>
          <w:rFonts w:ascii="Times New Roman" w:hAnsi="Times New Roman" w:cs="Times New Roman"/>
          <w:sz w:val="28"/>
          <w:szCs w:val="28"/>
        </w:rPr>
        <w:t>&lt; 0</w:t>
      </w:r>
      <w:proofErr w:type="gramEnd"/>
      <w:r w:rsidR="00B70C11" w:rsidRPr="00B70C11">
        <w:rPr>
          <w:rFonts w:ascii="Times New Roman" w:hAnsi="Times New Roman" w:cs="Times New Roman"/>
          <w:sz w:val="28"/>
          <w:szCs w:val="28"/>
        </w:rPr>
        <w:t xml:space="preserve">,01) и соответствует данным 13-летних нетренированных подростков. </w:t>
      </w:r>
      <w:r>
        <w:rPr>
          <w:rFonts w:ascii="Times New Roman" w:hAnsi="Times New Roman" w:cs="Times New Roman"/>
          <w:sz w:val="28"/>
          <w:szCs w:val="28"/>
        </w:rPr>
        <w:t xml:space="preserve"> </w:t>
      </w:r>
    </w:p>
    <w:p w:rsidR="00F339E4" w:rsidRDefault="00F339E4" w:rsidP="00B70C1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0C11" w:rsidRPr="00B70C11">
        <w:rPr>
          <w:rFonts w:ascii="Times New Roman" w:hAnsi="Times New Roman" w:cs="Times New Roman"/>
          <w:sz w:val="28"/>
          <w:szCs w:val="28"/>
        </w:rPr>
        <w:t xml:space="preserve">3. Показана </w:t>
      </w:r>
      <w:proofErr w:type="spellStart"/>
      <w:r w:rsidR="00B70C11" w:rsidRPr="00B70C11">
        <w:rPr>
          <w:rFonts w:ascii="Times New Roman" w:hAnsi="Times New Roman" w:cs="Times New Roman"/>
          <w:sz w:val="28"/>
          <w:szCs w:val="28"/>
        </w:rPr>
        <w:t>гетерохронность</w:t>
      </w:r>
      <w:proofErr w:type="spellEnd"/>
      <w:r w:rsidR="00B70C11" w:rsidRPr="00B70C11">
        <w:rPr>
          <w:rFonts w:ascii="Times New Roman" w:hAnsi="Times New Roman" w:cs="Times New Roman"/>
          <w:sz w:val="28"/>
          <w:szCs w:val="28"/>
        </w:rPr>
        <w:t xml:space="preserve"> развития системы вентиляции лёгких и формирования механизмов, обеспечивающих антигипоксическую устойчивость организма детей младшего школьного возраста. По мере роста тренированности юных футболистов у них существенно повышается темп прироста сначала функциональных показателей длительности задержки дыхания на вдохе на 13,5–45,8% (р </w:t>
      </w:r>
      <w:proofErr w:type="gramStart"/>
      <w:r w:rsidR="00B70C11" w:rsidRPr="00B70C11">
        <w:rPr>
          <w:rFonts w:ascii="Times New Roman" w:hAnsi="Times New Roman" w:cs="Times New Roman"/>
          <w:sz w:val="28"/>
          <w:szCs w:val="28"/>
        </w:rPr>
        <w:t>&lt; 0</w:t>
      </w:r>
      <w:proofErr w:type="gramEnd"/>
      <w:r w:rsidR="00B70C11" w:rsidRPr="00B70C11">
        <w:rPr>
          <w:rFonts w:ascii="Times New Roman" w:hAnsi="Times New Roman" w:cs="Times New Roman"/>
          <w:sz w:val="28"/>
          <w:szCs w:val="28"/>
        </w:rPr>
        <w:t xml:space="preserve">,05) и выдохе на 60,0–78,8% (р &lt; 0,001), и только затем (через 1 год тренировок и далее) жизненной ёмкости лёгких (на 21,2–41,2% (р &lt; 0,01)). </w:t>
      </w:r>
    </w:p>
    <w:p w:rsidR="00D9199A" w:rsidRPr="00B70C11" w:rsidRDefault="00F339E4" w:rsidP="00B70C11">
      <w:pPr>
        <w:rPr>
          <w:rFonts w:ascii="Times New Roman" w:hAnsi="Times New Roman" w:cs="Times New Roman"/>
          <w:sz w:val="28"/>
          <w:szCs w:val="28"/>
        </w:rPr>
      </w:pPr>
      <w:r>
        <w:rPr>
          <w:rFonts w:ascii="Times New Roman" w:hAnsi="Times New Roman" w:cs="Times New Roman"/>
          <w:sz w:val="28"/>
          <w:szCs w:val="28"/>
        </w:rPr>
        <w:t xml:space="preserve">            </w:t>
      </w:r>
      <w:r w:rsidR="00B70C11" w:rsidRPr="00B70C11">
        <w:rPr>
          <w:rFonts w:ascii="Times New Roman" w:hAnsi="Times New Roman" w:cs="Times New Roman"/>
          <w:sz w:val="28"/>
          <w:szCs w:val="28"/>
        </w:rPr>
        <w:t xml:space="preserve">4. Физическая подготовленность младших школьников по мере их взросления (от 8 до 10 лет) значительно возрастает как за счёт их физического развития, так и продолжения формирования двигательных качеств быстроты и скоростно-силовых. Ускорить формирование этих качеств у детей можно за счёт повышения их двигательной активности при дополнительных занятиях в спортивных (футбольных) школах. Литература 1. Дорохов, Р. Н. Физическое развитие детей школьного возраста / Р. Н. Дорохов // Медицина, подросток и спорт. – Смоленск, 1985. – С. 5–38. 2. Дорохов, Р. Н. Телосложение спортсмена / Р. Н. Дорохов, Л. П. </w:t>
      </w:r>
      <w:proofErr w:type="spellStart"/>
      <w:r w:rsidR="00B70C11" w:rsidRPr="00B70C11">
        <w:rPr>
          <w:rFonts w:ascii="Times New Roman" w:hAnsi="Times New Roman" w:cs="Times New Roman"/>
          <w:sz w:val="28"/>
          <w:szCs w:val="28"/>
        </w:rPr>
        <w:t>Рыбчинская</w:t>
      </w:r>
      <w:proofErr w:type="spellEnd"/>
      <w:r w:rsidR="00B70C11" w:rsidRPr="00B70C11">
        <w:rPr>
          <w:rFonts w:ascii="Times New Roman" w:hAnsi="Times New Roman" w:cs="Times New Roman"/>
          <w:sz w:val="28"/>
          <w:szCs w:val="28"/>
        </w:rPr>
        <w:t xml:space="preserve">. – Смоленск, 1977. – 86 с. 3. Грибанов, А. В. Динамика физического развития младших школьников при различной организации двигательной среды / А. В. Грибанов, А. Э. Лопатин // Физиология развития </w:t>
      </w:r>
      <w:proofErr w:type="gramStart"/>
      <w:r w:rsidR="00B70C11" w:rsidRPr="00B70C11">
        <w:rPr>
          <w:rFonts w:ascii="Times New Roman" w:hAnsi="Times New Roman" w:cs="Times New Roman"/>
          <w:sz w:val="28"/>
          <w:szCs w:val="28"/>
        </w:rPr>
        <w:t>человека :</w:t>
      </w:r>
      <w:proofErr w:type="gramEnd"/>
      <w:r w:rsidR="00B70C11" w:rsidRPr="00B70C11">
        <w:rPr>
          <w:rFonts w:ascii="Times New Roman" w:hAnsi="Times New Roman" w:cs="Times New Roman"/>
          <w:sz w:val="28"/>
          <w:szCs w:val="28"/>
        </w:rPr>
        <w:t xml:space="preserve"> материалы </w:t>
      </w:r>
      <w:proofErr w:type="spellStart"/>
      <w:r w:rsidR="00B70C11" w:rsidRPr="00B70C11">
        <w:rPr>
          <w:rFonts w:ascii="Times New Roman" w:hAnsi="Times New Roman" w:cs="Times New Roman"/>
          <w:sz w:val="28"/>
          <w:szCs w:val="28"/>
        </w:rPr>
        <w:t>Междунар</w:t>
      </w:r>
      <w:proofErr w:type="spellEnd"/>
      <w:r w:rsidR="00B70C11" w:rsidRPr="00B70C11">
        <w:rPr>
          <w:rFonts w:ascii="Times New Roman" w:hAnsi="Times New Roman" w:cs="Times New Roman"/>
          <w:sz w:val="28"/>
          <w:szCs w:val="28"/>
        </w:rPr>
        <w:t xml:space="preserve">. </w:t>
      </w:r>
      <w:proofErr w:type="spellStart"/>
      <w:r w:rsidR="00B70C11" w:rsidRPr="00B70C11">
        <w:rPr>
          <w:rFonts w:ascii="Times New Roman" w:hAnsi="Times New Roman" w:cs="Times New Roman"/>
          <w:sz w:val="28"/>
          <w:szCs w:val="28"/>
        </w:rPr>
        <w:t>конф</w:t>
      </w:r>
      <w:proofErr w:type="spellEnd"/>
      <w:r w:rsidR="00B70C11" w:rsidRPr="00B70C11">
        <w:rPr>
          <w:rFonts w:ascii="Times New Roman" w:hAnsi="Times New Roman" w:cs="Times New Roman"/>
          <w:sz w:val="28"/>
          <w:szCs w:val="28"/>
        </w:rPr>
        <w:t xml:space="preserve">., </w:t>
      </w:r>
      <w:proofErr w:type="spellStart"/>
      <w:r w:rsidR="00B70C11" w:rsidRPr="00B70C11">
        <w:rPr>
          <w:rFonts w:ascii="Times New Roman" w:hAnsi="Times New Roman" w:cs="Times New Roman"/>
          <w:sz w:val="28"/>
          <w:szCs w:val="28"/>
        </w:rPr>
        <w:t>посвящ</w:t>
      </w:r>
      <w:proofErr w:type="spellEnd"/>
      <w:r w:rsidR="00B70C11" w:rsidRPr="00B70C11">
        <w:rPr>
          <w:rFonts w:ascii="Times New Roman" w:hAnsi="Times New Roman" w:cs="Times New Roman"/>
          <w:sz w:val="28"/>
          <w:szCs w:val="28"/>
        </w:rPr>
        <w:t xml:space="preserve">. 55-летию </w:t>
      </w:r>
      <w:proofErr w:type="gramStart"/>
      <w:r w:rsidR="00B70C11" w:rsidRPr="00B70C11">
        <w:rPr>
          <w:rFonts w:ascii="Times New Roman" w:hAnsi="Times New Roman" w:cs="Times New Roman"/>
          <w:sz w:val="28"/>
          <w:szCs w:val="28"/>
        </w:rPr>
        <w:t>Ин-та</w:t>
      </w:r>
      <w:proofErr w:type="gramEnd"/>
      <w:r w:rsidR="00B70C11" w:rsidRPr="00B70C11">
        <w:rPr>
          <w:rFonts w:ascii="Times New Roman" w:hAnsi="Times New Roman" w:cs="Times New Roman"/>
          <w:sz w:val="28"/>
          <w:szCs w:val="28"/>
        </w:rPr>
        <w:t xml:space="preserve"> возрастной физиологии РАО, Москва, 27–30 </w:t>
      </w:r>
      <w:proofErr w:type="spellStart"/>
      <w:r w:rsidR="00B70C11" w:rsidRPr="00B70C11">
        <w:rPr>
          <w:rFonts w:ascii="Times New Roman" w:hAnsi="Times New Roman" w:cs="Times New Roman"/>
          <w:sz w:val="28"/>
          <w:szCs w:val="28"/>
        </w:rPr>
        <w:t>нояб</w:t>
      </w:r>
      <w:proofErr w:type="spellEnd"/>
      <w:r w:rsidR="00B70C11" w:rsidRPr="00B70C11">
        <w:rPr>
          <w:rFonts w:ascii="Times New Roman" w:hAnsi="Times New Roman" w:cs="Times New Roman"/>
          <w:sz w:val="28"/>
          <w:szCs w:val="28"/>
        </w:rPr>
        <w:t xml:space="preserve">. 2000 г. / </w:t>
      </w:r>
      <w:proofErr w:type="gramStart"/>
      <w:r w:rsidR="00B70C11" w:rsidRPr="00B70C11">
        <w:rPr>
          <w:rFonts w:ascii="Times New Roman" w:hAnsi="Times New Roman" w:cs="Times New Roman"/>
          <w:sz w:val="28"/>
          <w:szCs w:val="28"/>
        </w:rPr>
        <w:t>БГУФК ;</w:t>
      </w:r>
      <w:proofErr w:type="gramEnd"/>
      <w:r w:rsidR="00B70C11" w:rsidRPr="00B70C11">
        <w:rPr>
          <w:rFonts w:ascii="Times New Roman" w:hAnsi="Times New Roman" w:cs="Times New Roman"/>
          <w:sz w:val="28"/>
          <w:szCs w:val="28"/>
        </w:rPr>
        <w:t xml:space="preserve"> </w:t>
      </w:r>
      <w:proofErr w:type="spellStart"/>
      <w:r w:rsidR="00B70C11" w:rsidRPr="00B70C11">
        <w:rPr>
          <w:rFonts w:ascii="Times New Roman" w:hAnsi="Times New Roman" w:cs="Times New Roman"/>
          <w:sz w:val="28"/>
          <w:szCs w:val="28"/>
        </w:rPr>
        <w:t>редкол</w:t>
      </w:r>
      <w:proofErr w:type="spellEnd"/>
      <w:r w:rsidR="00B70C11" w:rsidRPr="00B70C11">
        <w:rPr>
          <w:rFonts w:ascii="Times New Roman" w:hAnsi="Times New Roman" w:cs="Times New Roman"/>
          <w:sz w:val="28"/>
          <w:szCs w:val="28"/>
        </w:rPr>
        <w:t xml:space="preserve">.: М. Е. Кобринский (гл. ред.) [и др.] – М. : НПО «Образование от А до Я», 2000. – С. 163–164. 4. Волков, Л. В. Теория и методика детского и юношеского спорта / Л. В. Волков. – </w:t>
      </w:r>
      <w:proofErr w:type="gramStart"/>
      <w:r w:rsidR="00B70C11" w:rsidRPr="00B70C11">
        <w:rPr>
          <w:rFonts w:ascii="Times New Roman" w:hAnsi="Times New Roman" w:cs="Times New Roman"/>
          <w:sz w:val="28"/>
          <w:szCs w:val="28"/>
        </w:rPr>
        <w:t>Киев :</w:t>
      </w:r>
      <w:proofErr w:type="gramEnd"/>
      <w:r w:rsidR="00B70C11" w:rsidRPr="00B70C11">
        <w:rPr>
          <w:rFonts w:ascii="Times New Roman" w:hAnsi="Times New Roman" w:cs="Times New Roman"/>
          <w:sz w:val="28"/>
          <w:szCs w:val="28"/>
        </w:rPr>
        <w:t xml:space="preserve"> Олимпийская литература, 2002. – 294 с. 5. Физиология развития ребенка: теоретические и прикладные аспекты / под ред. М. М. Безруких, Д. А. Фарбер. – </w:t>
      </w:r>
      <w:proofErr w:type="gramStart"/>
      <w:r w:rsidR="00B70C11" w:rsidRPr="00B70C11">
        <w:rPr>
          <w:rFonts w:ascii="Times New Roman" w:hAnsi="Times New Roman" w:cs="Times New Roman"/>
          <w:sz w:val="28"/>
          <w:szCs w:val="28"/>
        </w:rPr>
        <w:t>М. :</w:t>
      </w:r>
      <w:proofErr w:type="gramEnd"/>
      <w:r w:rsidR="00B70C11" w:rsidRPr="00B70C11">
        <w:rPr>
          <w:rFonts w:ascii="Times New Roman" w:hAnsi="Times New Roman" w:cs="Times New Roman"/>
          <w:sz w:val="28"/>
          <w:szCs w:val="28"/>
        </w:rPr>
        <w:t xml:space="preserve"> НПО «Образование от А до Я», 2000. – 319 с. 6. Дорохов, Р. Н. Физическое развитие детей школьного возраста / Р. Н. Дорохов // Медицина, подросток и спорт. – Смоленск, 1985. – С. 5–38. 7. Губа, В. П. Что может ваш ребенок / В. П. Губа. – </w:t>
      </w:r>
      <w:proofErr w:type="gramStart"/>
      <w:r w:rsidR="00B70C11" w:rsidRPr="00B70C11">
        <w:rPr>
          <w:rFonts w:ascii="Times New Roman" w:hAnsi="Times New Roman" w:cs="Times New Roman"/>
          <w:sz w:val="28"/>
          <w:szCs w:val="28"/>
        </w:rPr>
        <w:t>М. :</w:t>
      </w:r>
      <w:proofErr w:type="gramEnd"/>
      <w:r w:rsidR="00B70C11" w:rsidRPr="00B70C11">
        <w:rPr>
          <w:rFonts w:ascii="Times New Roman" w:hAnsi="Times New Roman" w:cs="Times New Roman"/>
          <w:sz w:val="28"/>
          <w:szCs w:val="28"/>
        </w:rPr>
        <w:t xml:space="preserve"> Советский спорт, 1991. – 60 с. 8. Кузнецов, А. А. Футбол. Настольная книга детского тренера 1 этап (8–10 лет) / А. А. Кузнецов. – </w:t>
      </w:r>
      <w:proofErr w:type="gramStart"/>
      <w:r w:rsidR="00B70C11" w:rsidRPr="00B70C11">
        <w:rPr>
          <w:rFonts w:ascii="Times New Roman" w:hAnsi="Times New Roman" w:cs="Times New Roman"/>
          <w:sz w:val="28"/>
          <w:szCs w:val="28"/>
        </w:rPr>
        <w:t>М. :</w:t>
      </w:r>
      <w:proofErr w:type="gramEnd"/>
      <w:r w:rsidR="00B70C11" w:rsidRPr="00B70C11">
        <w:rPr>
          <w:rFonts w:ascii="Times New Roman" w:hAnsi="Times New Roman" w:cs="Times New Roman"/>
          <w:sz w:val="28"/>
          <w:szCs w:val="28"/>
        </w:rPr>
        <w:t xml:space="preserve"> Олимпия, Человек, 2007. – 111 с. 9. Детская спортивная медицина / авт.-сост.: Т. Г. Авдеева [и др.</w:t>
      </w:r>
      <w:proofErr w:type="gramStart"/>
      <w:r w:rsidR="00B70C11" w:rsidRPr="00B70C11">
        <w:rPr>
          <w:rFonts w:ascii="Times New Roman" w:hAnsi="Times New Roman" w:cs="Times New Roman"/>
          <w:sz w:val="28"/>
          <w:szCs w:val="28"/>
        </w:rPr>
        <w:t>] ;</w:t>
      </w:r>
      <w:proofErr w:type="gramEnd"/>
      <w:r w:rsidR="00B70C11" w:rsidRPr="00B70C11">
        <w:rPr>
          <w:rFonts w:ascii="Times New Roman" w:hAnsi="Times New Roman" w:cs="Times New Roman"/>
          <w:sz w:val="28"/>
          <w:szCs w:val="28"/>
        </w:rPr>
        <w:t xml:space="preserve"> под ред. Т. Г. Авдеевой, И. И. </w:t>
      </w:r>
      <w:proofErr w:type="spellStart"/>
      <w:r w:rsidR="00B70C11" w:rsidRPr="00B70C11">
        <w:rPr>
          <w:rFonts w:ascii="Times New Roman" w:hAnsi="Times New Roman" w:cs="Times New Roman"/>
          <w:sz w:val="28"/>
          <w:szCs w:val="28"/>
        </w:rPr>
        <w:t>Бахраха</w:t>
      </w:r>
      <w:proofErr w:type="spellEnd"/>
      <w:r w:rsidR="00B70C11" w:rsidRPr="00B70C11">
        <w:rPr>
          <w:rFonts w:ascii="Times New Roman" w:hAnsi="Times New Roman" w:cs="Times New Roman"/>
          <w:sz w:val="28"/>
          <w:szCs w:val="28"/>
        </w:rPr>
        <w:t xml:space="preserve">. – </w:t>
      </w:r>
      <w:proofErr w:type="spellStart"/>
      <w:r w:rsidR="00B70C11" w:rsidRPr="00B70C11">
        <w:rPr>
          <w:rFonts w:ascii="Times New Roman" w:hAnsi="Times New Roman" w:cs="Times New Roman"/>
          <w:sz w:val="28"/>
          <w:szCs w:val="28"/>
        </w:rPr>
        <w:t>Изд</w:t>
      </w:r>
      <w:proofErr w:type="spellEnd"/>
      <w:r w:rsidR="00B70C11" w:rsidRPr="00B70C11">
        <w:rPr>
          <w:rFonts w:ascii="Times New Roman" w:hAnsi="Times New Roman" w:cs="Times New Roman"/>
          <w:sz w:val="28"/>
          <w:szCs w:val="28"/>
        </w:rPr>
        <w:t xml:space="preserve">-е 4-е, </w:t>
      </w:r>
      <w:proofErr w:type="spellStart"/>
      <w:r w:rsidR="00B70C11" w:rsidRPr="00B70C11">
        <w:rPr>
          <w:rFonts w:ascii="Times New Roman" w:hAnsi="Times New Roman" w:cs="Times New Roman"/>
          <w:sz w:val="28"/>
          <w:szCs w:val="28"/>
        </w:rPr>
        <w:t>исправ</w:t>
      </w:r>
      <w:proofErr w:type="spellEnd"/>
      <w:r w:rsidR="00B70C11" w:rsidRPr="00B70C11">
        <w:rPr>
          <w:rFonts w:ascii="Times New Roman" w:hAnsi="Times New Roman" w:cs="Times New Roman"/>
          <w:sz w:val="28"/>
          <w:szCs w:val="28"/>
        </w:rPr>
        <w:t>. и доп. – Ростов н/</w:t>
      </w:r>
      <w:proofErr w:type="gramStart"/>
      <w:r w:rsidR="00B70C11" w:rsidRPr="00B70C11">
        <w:rPr>
          <w:rFonts w:ascii="Times New Roman" w:hAnsi="Times New Roman" w:cs="Times New Roman"/>
          <w:sz w:val="28"/>
          <w:szCs w:val="28"/>
        </w:rPr>
        <w:t>Д :</w:t>
      </w:r>
      <w:proofErr w:type="gramEnd"/>
      <w:r w:rsidR="00B70C11" w:rsidRPr="00B70C11">
        <w:rPr>
          <w:rFonts w:ascii="Times New Roman" w:hAnsi="Times New Roman" w:cs="Times New Roman"/>
          <w:sz w:val="28"/>
          <w:szCs w:val="28"/>
        </w:rPr>
        <w:t xml:space="preserve"> Феникс, 2007. – 320 с. 10. </w:t>
      </w:r>
      <w:proofErr w:type="gramStart"/>
      <w:r w:rsidR="00B70C11" w:rsidRPr="00B70C11">
        <w:rPr>
          <w:rFonts w:ascii="Times New Roman" w:hAnsi="Times New Roman" w:cs="Times New Roman"/>
          <w:sz w:val="28"/>
          <w:szCs w:val="28"/>
        </w:rPr>
        <w:t>Футбол :</w:t>
      </w:r>
      <w:proofErr w:type="gramEnd"/>
      <w:r w:rsidR="00B70C11" w:rsidRPr="00B70C11">
        <w:rPr>
          <w:rFonts w:ascii="Times New Roman" w:hAnsi="Times New Roman" w:cs="Times New Roman"/>
          <w:sz w:val="28"/>
          <w:szCs w:val="28"/>
        </w:rPr>
        <w:t xml:space="preserve"> программа для специализированных учеб.-спорт. учреждений и училищ олимпийского резерва / сост. М. Я. </w:t>
      </w:r>
      <w:proofErr w:type="spellStart"/>
      <w:r w:rsidR="00B70C11" w:rsidRPr="00B70C11">
        <w:rPr>
          <w:rFonts w:ascii="Times New Roman" w:hAnsi="Times New Roman" w:cs="Times New Roman"/>
          <w:sz w:val="28"/>
          <w:szCs w:val="28"/>
        </w:rPr>
        <w:t>Андружейчик</w:t>
      </w:r>
      <w:proofErr w:type="spellEnd"/>
      <w:r w:rsidR="00B70C11" w:rsidRPr="00B70C11">
        <w:rPr>
          <w:rFonts w:ascii="Times New Roman" w:hAnsi="Times New Roman" w:cs="Times New Roman"/>
          <w:sz w:val="28"/>
          <w:szCs w:val="28"/>
        </w:rPr>
        <w:t xml:space="preserve">. – </w:t>
      </w:r>
      <w:proofErr w:type="gramStart"/>
      <w:r w:rsidR="00B70C11" w:rsidRPr="00B70C11">
        <w:rPr>
          <w:rFonts w:ascii="Times New Roman" w:hAnsi="Times New Roman" w:cs="Times New Roman"/>
          <w:sz w:val="28"/>
          <w:szCs w:val="28"/>
        </w:rPr>
        <w:t>Минск :</w:t>
      </w:r>
      <w:proofErr w:type="gramEnd"/>
      <w:r w:rsidR="00B70C11" w:rsidRPr="00B70C11">
        <w:rPr>
          <w:rFonts w:ascii="Times New Roman" w:hAnsi="Times New Roman" w:cs="Times New Roman"/>
          <w:sz w:val="28"/>
          <w:szCs w:val="28"/>
        </w:rPr>
        <w:t xml:space="preserve"> </w:t>
      </w:r>
      <w:proofErr w:type="spellStart"/>
      <w:r w:rsidR="00B70C11" w:rsidRPr="00B70C11">
        <w:rPr>
          <w:rFonts w:ascii="Times New Roman" w:hAnsi="Times New Roman" w:cs="Times New Roman"/>
          <w:sz w:val="28"/>
          <w:szCs w:val="28"/>
        </w:rPr>
        <w:t>Минспорта</w:t>
      </w:r>
      <w:proofErr w:type="spellEnd"/>
      <w:r w:rsidR="00B70C11" w:rsidRPr="00B70C11">
        <w:rPr>
          <w:rFonts w:ascii="Times New Roman" w:hAnsi="Times New Roman" w:cs="Times New Roman"/>
          <w:sz w:val="28"/>
          <w:szCs w:val="28"/>
        </w:rPr>
        <w:t xml:space="preserve"> и туризма РБ, НИИ </w:t>
      </w:r>
      <w:proofErr w:type="spellStart"/>
      <w:r w:rsidR="00B70C11" w:rsidRPr="00B70C11">
        <w:rPr>
          <w:rFonts w:ascii="Times New Roman" w:hAnsi="Times New Roman" w:cs="Times New Roman"/>
          <w:sz w:val="28"/>
          <w:szCs w:val="28"/>
        </w:rPr>
        <w:t>ФКиС</w:t>
      </w:r>
      <w:proofErr w:type="spellEnd"/>
      <w:r w:rsidR="00B70C11" w:rsidRPr="00B70C11">
        <w:rPr>
          <w:rFonts w:ascii="Times New Roman" w:hAnsi="Times New Roman" w:cs="Times New Roman"/>
          <w:sz w:val="28"/>
          <w:szCs w:val="28"/>
        </w:rPr>
        <w:t xml:space="preserve"> РБ, БГУФК, 2006. – 110 с. 11. Губа, В. П. Индивидуализация подготовки юных спортсменов / В. П. Губа, П. В. </w:t>
      </w:r>
      <w:proofErr w:type="spellStart"/>
      <w:r w:rsidR="00B70C11" w:rsidRPr="00B70C11">
        <w:rPr>
          <w:rFonts w:ascii="Times New Roman" w:hAnsi="Times New Roman" w:cs="Times New Roman"/>
          <w:sz w:val="28"/>
          <w:szCs w:val="28"/>
        </w:rPr>
        <w:t>Квашук</w:t>
      </w:r>
      <w:proofErr w:type="spellEnd"/>
      <w:r w:rsidR="00B70C11" w:rsidRPr="00B70C11">
        <w:rPr>
          <w:rFonts w:ascii="Times New Roman" w:hAnsi="Times New Roman" w:cs="Times New Roman"/>
          <w:sz w:val="28"/>
          <w:szCs w:val="28"/>
        </w:rPr>
        <w:t xml:space="preserve">, В. Г. Никитушкин. – </w:t>
      </w:r>
      <w:proofErr w:type="gramStart"/>
      <w:r w:rsidR="00B70C11" w:rsidRPr="00B70C11">
        <w:rPr>
          <w:rFonts w:ascii="Times New Roman" w:hAnsi="Times New Roman" w:cs="Times New Roman"/>
          <w:sz w:val="28"/>
          <w:szCs w:val="28"/>
        </w:rPr>
        <w:t>М. :</w:t>
      </w:r>
      <w:proofErr w:type="gramEnd"/>
      <w:r w:rsidR="00B70C11" w:rsidRPr="00B70C11">
        <w:rPr>
          <w:rFonts w:ascii="Times New Roman" w:hAnsi="Times New Roman" w:cs="Times New Roman"/>
          <w:sz w:val="28"/>
          <w:szCs w:val="28"/>
        </w:rPr>
        <w:t xml:space="preserve"> Физическая культура, 2009. – 276 с.</w:t>
      </w:r>
    </w:p>
    <w:sectPr w:rsidR="00D9199A" w:rsidRPr="00B70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EC"/>
    <w:rsid w:val="00334FCD"/>
    <w:rsid w:val="003F3EEA"/>
    <w:rsid w:val="00422251"/>
    <w:rsid w:val="004A7CB0"/>
    <w:rsid w:val="00833204"/>
    <w:rsid w:val="00B70C11"/>
    <w:rsid w:val="00B747EC"/>
    <w:rsid w:val="00C07416"/>
    <w:rsid w:val="00D9199A"/>
    <w:rsid w:val="00E84DD3"/>
    <w:rsid w:val="00EF2CE2"/>
    <w:rsid w:val="00F339E4"/>
    <w:rsid w:val="00FC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A630"/>
  <w15:chartTrackingRefBased/>
  <w15:docId w15:val="{32A4E774-AC51-44A8-9F4F-0BE5D39B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6034-4646-45AC-8E67-27296646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Aidar</dc:creator>
  <cp:keywords/>
  <dc:description/>
  <cp:lastModifiedBy>Aidar</cp:lastModifiedBy>
  <cp:revision>3</cp:revision>
  <dcterms:created xsi:type="dcterms:W3CDTF">2020-09-21T04:04:00Z</dcterms:created>
  <dcterms:modified xsi:type="dcterms:W3CDTF">2020-09-21T05:56:00Z</dcterms:modified>
</cp:coreProperties>
</file>